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1A88B824" w14:textId="68D26824" w:rsidR="000742C1" w:rsidRPr="00495748" w:rsidRDefault="000742C1" w:rsidP="002D5350">
      <w:pPr>
        <w:contextualSpacing/>
        <w:rPr>
          <w:rFonts w:asciiTheme="minorHAnsi" w:eastAsiaTheme="minorHAnsi" w:hAnsiTheme="minorHAnsi"/>
          <w:b/>
          <w:bCs/>
          <w:smallCaps/>
          <w:sz w:val="24"/>
          <w:szCs w:val="24"/>
        </w:rPr>
      </w:pP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562FD966"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w:t>
      </w:r>
      <w:r w:rsidR="006640D2">
        <w:rPr>
          <w:rFonts w:asciiTheme="minorHAnsi" w:eastAsiaTheme="minorHAnsi" w:hAnsiTheme="minorHAnsi"/>
          <w:b/>
          <w:bCs/>
          <w:smallCaps/>
          <w:sz w:val="40"/>
          <w:szCs w:val="40"/>
        </w:rPr>
        <w:t>quotation</w:t>
      </w:r>
      <w:r w:rsidRPr="00495748">
        <w:rPr>
          <w:rFonts w:asciiTheme="minorHAnsi" w:eastAsiaTheme="minorHAnsi" w:hAnsiTheme="minorHAnsi"/>
          <w:b/>
          <w:bCs/>
          <w:smallCaps/>
          <w:sz w:val="40"/>
          <w:szCs w:val="40"/>
        </w:rPr>
        <w:t xml:space="preserve">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3D6F4505" w14:textId="39AC0F71" w:rsidR="004C4DA4" w:rsidRDefault="00230D27" w:rsidP="002547CD">
      <w:pPr>
        <w:contextualSpacing/>
        <w:rPr>
          <w:rFonts w:asciiTheme="minorHAnsi" w:hAnsiTheme="minorHAnsi"/>
          <w:b/>
          <w:bCs/>
          <w:sz w:val="24"/>
          <w:szCs w:val="24"/>
        </w:rPr>
      </w:pPr>
      <w:r w:rsidRPr="00230D27">
        <w:rPr>
          <w:rFonts w:asciiTheme="minorHAnsi" w:hAnsiTheme="minorHAnsi"/>
          <w:b/>
          <w:bCs/>
          <w:sz w:val="24"/>
          <w:szCs w:val="24"/>
        </w:rPr>
        <w:t xml:space="preserve">For establishing a framework agreement for the </w:t>
      </w:r>
      <w:r w:rsidR="006640D2">
        <w:rPr>
          <w:rFonts w:asciiTheme="minorHAnsi" w:hAnsiTheme="minorHAnsi"/>
          <w:b/>
          <w:bCs/>
          <w:sz w:val="24"/>
          <w:szCs w:val="24"/>
        </w:rPr>
        <w:t xml:space="preserve">MEAL </w:t>
      </w:r>
      <w:r w:rsidR="0016513B">
        <w:rPr>
          <w:rFonts w:asciiTheme="minorHAnsi" w:hAnsiTheme="minorHAnsi"/>
          <w:b/>
          <w:bCs/>
          <w:sz w:val="24"/>
          <w:szCs w:val="24"/>
        </w:rPr>
        <w:t xml:space="preserve">consultancy </w:t>
      </w:r>
      <w:r w:rsidR="006640D2">
        <w:rPr>
          <w:rFonts w:asciiTheme="minorHAnsi" w:hAnsiTheme="minorHAnsi"/>
          <w:b/>
          <w:bCs/>
          <w:sz w:val="24"/>
          <w:szCs w:val="24"/>
        </w:rPr>
        <w:t>service</w:t>
      </w:r>
      <w:r w:rsidR="00C83683">
        <w:rPr>
          <w:rFonts w:asciiTheme="minorHAnsi" w:hAnsiTheme="minorHAnsi"/>
          <w:b/>
          <w:bCs/>
          <w:sz w:val="24"/>
          <w:szCs w:val="24"/>
        </w:rPr>
        <w:t>. Kindly refer to the attached TOR for detailed scope of work.</w:t>
      </w:r>
    </w:p>
    <w:p w14:paraId="228E5409" w14:textId="77777777" w:rsidR="00230D27" w:rsidRPr="00495748" w:rsidRDefault="00230D27" w:rsidP="002547CD">
      <w:pPr>
        <w:contextualSpacing/>
        <w:rPr>
          <w:rFonts w:asciiTheme="minorHAnsi" w:hAnsiTheme="minorHAnsi" w:cstheme="majorBidi"/>
          <w:b/>
          <w:bCs/>
          <w:smallCaps/>
          <w:sz w:val="24"/>
          <w:szCs w:val="24"/>
          <w:lang w:val="en-GB"/>
        </w:rPr>
      </w:pPr>
    </w:p>
    <w:p w14:paraId="31278224" w14:textId="1E40D0CE"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00C83683">
        <w:rPr>
          <w:rFonts w:asciiTheme="minorHAnsi" w:eastAsiaTheme="minorHAnsi" w:hAnsiTheme="minorHAnsi"/>
          <w:b/>
          <w:bCs/>
          <w:sz w:val="24"/>
          <w:szCs w:val="24"/>
          <w:lang w:val="en-GB"/>
        </w:rPr>
        <w:t>MEAL service</w:t>
      </w:r>
      <w:r w:rsidRPr="00495748">
        <w:rPr>
          <w:rFonts w:asciiTheme="minorHAnsi" w:hAnsiTheme="minorHAnsi" w:cs="Arial"/>
          <w:b/>
          <w:bCs/>
          <w:smallCaps/>
          <w:sz w:val="24"/>
          <w:szCs w:val="24"/>
        </w:rPr>
        <w:t xml:space="preserve"> </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24C65A5C"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D1427A">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0FB819D1"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746DCB">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default" r:id="rId11"/>
          <w:footerReference w:type="even" r:id="rId12"/>
          <w:footerReference w:type="default" r:id="rId13"/>
          <w:headerReference w:type="first" r:id="rId14"/>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0" w:name="_Toc230603139"/>
      <w:r w:rsidRPr="00495748">
        <w:rPr>
          <w:rFonts w:asciiTheme="minorHAnsi" w:hAnsiTheme="minorHAnsi"/>
          <w:b/>
          <w:bCs/>
          <w:smallCaps/>
          <w:color w:val="auto"/>
          <w:sz w:val="24"/>
          <w:szCs w:val="24"/>
        </w:rPr>
        <w:t>ABOUT CARE VIETNAM &amp; TENDER PURPOSE:</w:t>
      </w:r>
      <w:bookmarkEnd w:id="0"/>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w:t>
      </w:r>
      <w:r w:rsidRPr="00495748">
        <w:rPr>
          <w:rFonts w:asciiTheme="minorHAnsi" w:eastAsia="Times New Roman" w:hAnsiTheme="minorHAnsi"/>
        </w:rPr>
        <w:lastRenderedPageBreak/>
        <w:t xml:space="preserve">increase resilience after natural disasters or 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6C0B6A3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We hereby invite s</w:t>
      </w:r>
      <w:r w:rsidR="00C83683">
        <w:rPr>
          <w:rFonts w:asciiTheme="minorHAnsi" w:hAnsiTheme="minorHAnsi"/>
          <w:lang w:val="en-GB"/>
        </w:rPr>
        <w:t xml:space="preserve">ervice provider </w:t>
      </w:r>
      <w:r w:rsidRPr="00495748">
        <w:rPr>
          <w:rFonts w:asciiTheme="minorHAnsi" w:hAnsiTheme="minorHAnsi"/>
          <w:lang w:val="en-GB"/>
        </w:rPr>
        <w:t xml:space="preserve">to submit bids for the purpose of establishing a long-term Framework Agreement for </w:t>
      </w:r>
      <w:r w:rsidR="00230D27" w:rsidRPr="00230D27">
        <w:rPr>
          <w:rFonts w:asciiTheme="minorHAnsi" w:hAnsiTheme="minorHAnsi"/>
        </w:rPr>
        <w:t>the</w:t>
      </w:r>
      <w:r w:rsidR="00230D27" w:rsidRPr="00230D27">
        <w:rPr>
          <w:rFonts w:asciiTheme="minorHAnsi" w:hAnsiTheme="minorHAnsi"/>
          <w:b/>
          <w:bCs/>
        </w:rPr>
        <w:t xml:space="preserve"> </w:t>
      </w:r>
      <w:r w:rsidR="00C83683">
        <w:rPr>
          <w:rFonts w:asciiTheme="minorHAnsi" w:hAnsiTheme="minorHAnsi"/>
          <w:b/>
          <w:bCs/>
        </w:rPr>
        <w:t>MEAL service</w:t>
      </w:r>
      <w:r w:rsidR="00902F20">
        <w:rPr>
          <w:rFonts w:asciiTheme="minorHAnsi" w:hAnsiTheme="minorHAnsi"/>
          <w:b/>
          <w:bCs/>
        </w:rPr>
        <w:t xml:space="preserve"> for CARE in Vietnam.</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03A9F9"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NOTE: The signing of a Framework Agreement does not constitute a commitment by CARE Vietnam to purchase any specific quantity of services, nor does it guarantee any revenue for the </w:t>
      </w:r>
      <w:r w:rsidR="00C83683">
        <w:rPr>
          <w:rFonts w:asciiTheme="minorHAnsi" w:hAnsiTheme="minorHAnsi"/>
          <w:lang w:val="en-GB"/>
        </w:rPr>
        <w:t>service provider</w:t>
      </w:r>
      <w:r w:rsidRPr="00495748">
        <w:rPr>
          <w:rFonts w:asciiTheme="minorHAnsi" w:hAnsiTheme="minorHAnsi"/>
          <w:lang w:val="en-GB"/>
        </w:rPr>
        <w:t>.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3D0CC410"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w:t>
      </w:r>
      <w:r w:rsidR="00C83683">
        <w:rPr>
          <w:rFonts w:asciiTheme="minorHAnsi" w:hAnsiTheme="minorHAnsi"/>
          <w:lang w:val="en-GB"/>
        </w:rPr>
        <w:t>ervice provider</w:t>
      </w:r>
      <w:r w:rsidRPr="00495748">
        <w:rPr>
          <w:rFonts w:asciiTheme="minorHAnsi" w:hAnsiTheme="minorHAnsi"/>
          <w:lang w:val="en-GB"/>
        </w:rPr>
        <w:t xml:space="preserve"> is required to comply with CARE’s payment terms as follows:</w:t>
      </w:r>
    </w:p>
    <w:p w14:paraId="38E2937A" w14:textId="6A58446B" w:rsidR="002547CD" w:rsidRDefault="002547CD" w:rsidP="00C63BAB">
      <w:pPr>
        <w:pStyle w:val="xmsonormal"/>
        <w:numPr>
          <w:ilvl w:val="0"/>
          <w:numId w:val="6"/>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BD9FD5E" w14:textId="0D0F65B1" w:rsidR="004502A3" w:rsidRDefault="00E263E4" w:rsidP="00C63BAB">
      <w:pPr>
        <w:pStyle w:val="xmsonormal"/>
        <w:numPr>
          <w:ilvl w:val="0"/>
          <w:numId w:val="6"/>
        </w:numPr>
        <w:jc w:val="both"/>
        <w:rPr>
          <w:rFonts w:asciiTheme="minorHAnsi" w:hAnsiTheme="minorHAnsi"/>
        </w:rPr>
      </w:pPr>
      <w:r w:rsidRPr="00E263E4">
        <w:rPr>
          <w:rFonts w:asciiTheme="minorHAnsi" w:hAnsiTheme="minorHAnsi"/>
        </w:rPr>
        <w:t xml:space="preserve">The quotation submitted for the Framework Agreement shall remain valid for three (03) years. For </w:t>
      </w:r>
      <w:r w:rsidR="00392E77">
        <w:rPr>
          <w:rFonts w:asciiTheme="minorHAnsi" w:hAnsiTheme="minorHAnsi"/>
        </w:rPr>
        <w:t>MEAL service</w:t>
      </w:r>
      <w:r w:rsidRPr="00E263E4">
        <w:rPr>
          <w:rFonts w:asciiTheme="minorHAnsi" w:hAnsiTheme="minorHAnsi"/>
        </w:rPr>
        <w:t>, the Framework Agreement will be managed based on fixed pricing throughout the contract period.</w:t>
      </w:r>
    </w:p>
    <w:p w14:paraId="33C624A1" w14:textId="77777777" w:rsidR="009A5CF3" w:rsidRPr="00495748" w:rsidRDefault="009A5CF3" w:rsidP="00DF4739">
      <w:pPr>
        <w:pStyle w:val="xmsonormal"/>
        <w:jc w:val="both"/>
        <w:rPr>
          <w:rFonts w:asciiTheme="minorHAnsi" w:hAnsiTheme="minorHAnsi"/>
          <w:lang w:val="en-GB"/>
        </w:rPr>
      </w:pP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 w:name="_Toc230603140"/>
      <w:r w:rsidRPr="00495748">
        <w:rPr>
          <w:rFonts w:asciiTheme="minorHAnsi" w:hAnsiTheme="minorHAnsi"/>
          <w:b/>
          <w:bCs/>
          <w:smallCaps/>
          <w:color w:val="auto"/>
          <w:sz w:val="24"/>
          <w:szCs w:val="24"/>
        </w:rPr>
        <w:t>GENERAL CONDITIONS and CLAUSES</w:t>
      </w:r>
      <w:bookmarkEnd w:id="1"/>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 w:name="_Toc230603141"/>
      <w:r w:rsidRPr="00495748">
        <w:rPr>
          <w:rFonts w:asciiTheme="minorHAnsi" w:hAnsiTheme="minorHAnsi"/>
          <w:smallCaps/>
          <w:color w:val="auto"/>
          <w:sz w:val="24"/>
          <w:szCs w:val="24"/>
        </w:rPr>
        <w:t>CARE’s GENERAL CONDITIONS</w:t>
      </w:r>
      <w:bookmarkEnd w:id="2"/>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lastRenderedPageBreak/>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3" w:name="_Toc230603142"/>
      <w:r w:rsidRPr="00495748">
        <w:rPr>
          <w:rFonts w:asciiTheme="minorHAnsi" w:hAnsiTheme="minorHAnsi"/>
          <w:smallCaps/>
          <w:color w:val="auto"/>
          <w:sz w:val="24"/>
          <w:szCs w:val="24"/>
        </w:rPr>
        <w:t>CONFIDENTIALITY/ NON-DISCLOSURE</w:t>
      </w:r>
      <w:bookmarkEnd w:id="3"/>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require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4" w:name="_Toc230603143"/>
      <w:r w:rsidRPr="00495748">
        <w:rPr>
          <w:rFonts w:asciiTheme="minorHAnsi" w:hAnsiTheme="minorHAnsi"/>
          <w:smallCaps/>
          <w:color w:val="auto"/>
          <w:sz w:val="24"/>
          <w:szCs w:val="24"/>
        </w:rPr>
        <w:t>PUBLICITY</w:t>
      </w:r>
      <w:bookmarkEnd w:id="4"/>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5" w:name="_Toc230603144"/>
      <w:r w:rsidRPr="00495748">
        <w:rPr>
          <w:rFonts w:asciiTheme="minorHAnsi" w:hAnsiTheme="minorHAnsi"/>
          <w:smallCaps/>
          <w:color w:val="auto"/>
          <w:sz w:val="24"/>
          <w:szCs w:val="24"/>
        </w:rPr>
        <w:t>LIABILITY</w:t>
      </w:r>
      <w:bookmarkEnd w:id="5"/>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w:t>
      </w:r>
      <w:r w:rsidRPr="00495748">
        <w:rPr>
          <w:rFonts w:asciiTheme="minorHAnsi" w:hAnsiTheme="minorHAnsi"/>
          <w:sz w:val="24"/>
          <w:szCs w:val="24"/>
        </w:rPr>
        <w:lastRenderedPageBreak/>
        <w:t xml:space="preserve">indemnify and hold harmless CARE for, among other things, any third-party claims arising from the selected vendor’s acts or omissions, and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6" w:name="_Toc230603145"/>
      <w:r w:rsidRPr="00495748">
        <w:rPr>
          <w:rFonts w:asciiTheme="minorHAnsi" w:hAnsiTheme="minorHAnsi"/>
          <w:smallCaps/>
          <w:color w:val="auto"/>
          <w:sz w:val="24"/>
          <w:szCs w:val="24"/>
        </w:rPr>
        <w:t>FORCE MAJEURE</w:t>
      </w:r>
      <w:bookmarkEnd w:id="6"/>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7" w:name="_Toc230603146"/>
      <w:r w:rsidRPr="00495748">
        <w:rPr>
          <w:rFonts w:asciiTheme="minorHAnsi" w:hAnsiTheme="minorHAnsi"/>
          <w:smallCaps/>
          <w:color w:val="auto"/>
          <w:sz w:val="24"/>
          <w:szCs w:val="24"/>
        </w:rPr>
        <w:t>ERRORS AND OMISSIONS</w:t>
      </w:r>
      <w:bookmarkEnd w:id="7"/>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8" w:name="_Toc230603147"/>
      <w:r w:rsidRPr="00495748">
        <w:rPr>
          <w:rFonts w:asciiTheme="minorHAnsi" w:hAnsiTheme="minorHAnsi"/>
          <w:smallCaps/>
          <w:color w:val="auto"/>
          <w:sz w:val="24"/>
          <w:szCs w:val="24"/>
        </w:rPr>
        <w:t>OWNERSHIP OF WORK</w:t>
      </w:r>
      <w:bookmarkEnd w:id="8"/>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9" w:name="_Toc230603148"/>
      <w:r w:rsidRPr="00495748">
        <w:rPr>
          <w:rFonts w:asciiTheme="minorHAnsi" w:hAnsiTheme="minorHAnsi"/>
          <w:smallCaps/>
          <w:color w:val="auto"/>
          <w:sz w:val="24"/>
          <w:szCs w:val="24"/>
        </w:rPr>
        <w:t>CONFLICT OF INTEREST</w:t>
      </w:r>
      <w:bookmarkEnd w:id="9"/>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0" w:name="_Toc230603149"/>
      <w:r w:rsidRPr="00495748">
        <w:rPr>
          <w:rFonts w:asciiTheme="minorHAnsi" w:hAnsiTheme="minorHAnsi"/>
          <w:b/>
          <w:bCs/>
          <w:smallCaps/>
          <w:color w:val="auto"/>
          <w:sz w:val="24"/>
          <w:szCs w:val="24"/>
        </w:rPr>
        <w:lastRenderedPageBreak/>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10"/>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74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Quote, or entering into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legal  issues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1" w:name="_Toc230603150"/>
      <w:r w:rsidRPr="00495748">
        <w:rPr>
          <w:rFonts w:asciiTheme="minorHAnsi" w:hAnsiTheme="minorHAnsi"/>
          <w:b/>
          <w:bCs/>
          <w:smallCaps/>
          <w:color w:val="auto"/>
          <w:sz w:val="24"/>
          <w:szCs w:val="24"/>
        </w:rPr>
        <w:lastRenderedPageBreak/>
        <w:t>CONDITIONS AND GUIDELINES FOR SUBMISSION OF QUOTATION</w:t>
      </w:r>
      <w:bookmarkEnd w:id="11"/>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6CD2C7D6"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746DCB">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 </w:t>
      </w:r>
      <w:r w:rsidR="004D3C00" w:rsidRPr="004D3C00">
        <w:rPr>
          <w:rFonts w:asciiTheme="minorHAnsi" w:hAnsiTheme="minorHAnsi" w:cstheme="majorBidi"/>
          <w:b/>
          <w:bCs/>
          <w:sz w:val="24"/>
          <w:szCs w:val="24"/>
          <w:highlight w:val="yellow"/>
        </w:rPr>
        <w:t>vnm.sealedbid</w:t>
      </w:r>
      <w:r w:rsidR="00446549">
        <w:rPr>
          <w:rFonts w:asciiTheme="minorHAnsi" w:hAnsiTheme="minorHAnsi" w:cstheme="majorBidi"/>
          <w:b/>
          <w:bCs/>
          <w:sz w:val="24"/>
          <w:szCs w:val="24"/>
          <w:highlight w:val="yellow"/>
        </w:rPr>
        <w:t>6</w:t>
      </w:r>
      <w:r w:rsidR="004D3C00" w:rsidRPr="004D3C00">
        <w:rPr>
          <w:rFonts w:asciiTheme="minorHAnsi" w:hAnsiTheme="minorHAnsi" w:cstheme="majorBidi"/>
          <w:b/>
          <w:bCs/>
          <w:sz w:val="24"/>
          <w:szCs w:val="24"/>
          <w:highlight w:val="yellow"/>
        </w:rPr>
        <w:t>@care.org</w:t>
      </w:r>
      <w:r w:rsidR="004D3C00">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1CED8A30"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w:t>
      </w:r>
      <w:r w:rsidR="000219F3">
        <w:rPr>
          <w:rFonts w:asciiTheme="minorHAnsi" w:hAnsiTheme="minorHAnsi"/>
          <w:sz w:val="24"/>
          <w:szCs w:val="24"/>
        </w:rPr>
        <w:t>MEAL consultancy services</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C63BAB">
      <w:pPr>
        <w:pStyle w:val="ListParagraph"/>
        <w:numPr>
          <w:ilvl w:val="0"/>
          <w:numId w:val="4"/>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C63BAB">
      <w:pPr>
        <w:pStyle w:val="ListParagraph"/>
        <w:numPr>
          <w:ilvl w:val="0"/>
          <w:numId w:val="4"/>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C63BAB">
      <w:pPr>
        <w:pStyle w:val="ListParagraph"/>
        <w:numPr>
          <w:ilvl w:val="0"/>
          <w:numId w:val="4"/>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6700DE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215422">
        <w:rPr>
          <w:rFonts w:asciiTheme="minorHAnsi" w:hAnsiTheme="minorHAnsi" w:cstheme="majorBidi"/>
          <w:sz w:val="24"/>
          <w:szCs w:val="24"/>
        </w:rPr>
        <w:t xml:space="preserve">, </w:t>
      </w:r>
      <w:r w:rsidR="00FF01A0" w:rsidRPr="00FF01A0">
        <w:rPr>
          <w:rFonts w:asciiTheme="minorHAnsi" w:hAnsiTheme="minorHAnsi" w:cstheme="majorBidi"/>
          <w:sz w:val="24"/>
          <w:szCs w:val="24"/>
        </w:rPr>
        <w:t>except for the payment terms specified above</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09487AD1" w14:textId="77777777" w:rsidR="002547CD" w:rsidRPr="00495748" w:rsidRDefault="002547CD" w:rsidP="002547CD">
      <w:pPr>
        <w:ind w:left="360"/>
        <w:contextualSpacing/>
        <w:jc w:val="both"/>
        <w:rPr>
          <w:rFonts w:asciiTheme="minorHAnsi" w:hAnsiTheme="minorHAnsi" w:cstheme="majorBidi"/>
          <w:sz w:val="24"/>
          <w:szCs w:val="24"/>
        </w:rPr>
      </w:pPr>
    </w:p>
    <w:p w14:paraId="3C9C64E4" w14:textId="1547ED8C"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56D744CF" w14:textId="77777777" w:rsidR="002547CD" w:rsidRPr="00495748" w:rsidRDefault="002547CD" w:rsidP="002547CD">
      <w:pPr>
        <w:contextualSpacing/>
        <w:jc w:val="both"/>
        <w:rPr>
          <w:rFonts w:asciiTheme="minorHAnsi" w:hAnsiTheme="minorHAnsi" w:cstheme="majorHAnsi"/>
          <w:sz w:val="24"/>
          <w:szCs w:val="24"/>
        </w:rPr>
      </w:pP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2" w:name="_Toc201134412"/>
      <w:bookmarkStart w:id="13" w:name="_Toc230603151"/>
      <w:r w:rsidRPr="00495748">
        <w:rPr>
          <w:rFonts w:asciiTheme="minorHAnsi" w:hAnsiTheme="minorHAnsi"/>
          <w:b/>
          <w:bCs/>
          <w:smallCaps/>
          <w:color w:val="auto"/>
          <w:sz w:val="24"/>
          <w:szCs w:val="24"/>
        </w:rPr>
        <w:t>SCHEDULE OF REQUIREMENTS</w:t>
      </w:r>
      <w:bookmarkEnd w:id="12"/>
      <w:bookmarkEnd w:id="13"/>
    </w:p>
    <w:p w14:paraId="74998934" w14:textId="77777777" w:rsidR="002547CD" w:rsidRPr="00495748" w:rsidRDefault="002547CD" w:rsidP="002547CD">
      <w:pPr>
        <w:rPr>
          <w:rFonts w:asciiTheme="minorHAnsi" w:hAnsiTheme="minorHAnsi"/>
          <w:sz w:val="24"/>
          <w:szCs w:val="24"/>
          <w:lang w:val="en-GB"/>
        </w:rPr>
      </w:pPr>
    </w:p>
    <w:p w14:paraId="25355D42" w14:textId="60E7A911" w:rsidR="002547CD" w:rsidRPr="006425E1" w:rsidRDefault="006425E1" w:rsidP="006425E1">
      <w:pPr>
        <w:spacing w:before="120" w:after="120"/>
        <w:jc w:val="both"/>
        <w:rPr>
          <w:rFonts w:ascii="Aptos" w:hAnsi="Aptos" w:cstheme="minorHAnsi"/>
          <w:b/>
        </w:rPr>
      </w:pPr>
      <w:r>
        <w:rPr>
          <w:rFonts w:asciiTheme="minorHAnsi" w:hAnsiTheme="minorHAnsi" w:cstheme="majorBidi"/>
          <w:b/>
          <w:bCs/>
          <w:sz w:val="24"/>
          <w:szCs w:val="24"/>
        </w:rPr>
        <w:t xml:space="preserve">5.1 </w:t>
      </w:r>
      <w:r w:rsidR="00904C36">
        <w:rPr>
          <w:rFonts w:asciiTheme="minorHAnsi" w:hAnsiTheme="minorHAnsi" w:cstheme="majorBidi"/>
          <w:b/>
          <w:bCs/>
          <w:sz w:val="24"/>
          <w:szCs w:val="24"/>
        </w:rPr>
        <w:t>Requirement for scope of work: Please refer to the attached</w:t>
      </w:r>
      <w:r>
        <w:rPr>
          <w:rFonts w:asciiTheme="minorHAnsi" w:hAnsiTheme="minorHAnsi" w:cstheme="majorBidi"/>
          <w:b/>
          <w:bCs/>
          <w:sz w:val="24"/>
          <w:szCs w:val="24"/>
        </w:rPr>
        <w:t xml:space="preserve"> </w:t>
      </w:r>
      <w:r w:rsidRPr="00DB55E9">
        <w:rPr>
          <w:rFonts w:ascii="Aptos" w:hAnsi="Aptos" w:cstheme="minorHAnsi"/>
          <w:b/>
        </w:rPr>
        <w:t xml:space="preserve">TERMS OF REFERENCE </w:t>
      </w:r>
      <w:r>
        <w:rPr>
          <w:rFonts w:ascii="Aptos" w:hAnsi="Aptos" w:cstheme="minorHAnsi"/>
          <w:b/>
        </w:rPr>
        <w:br/>
        <w:t xml:space="preserve">          </w:t>
      </w:r>
      <w:r>
        <w:rPr>
          <w:rFonts w:asciiTheme="minorHAnsi" w:hAnsiTheme="minorHAnsi" w:cstheme="majorBidi"/>
          <w:b/>
          <w:bCs/>
          <w:sz w:val="24"/>
          <w:szCs w:val="24"/>
        </w:rPr>
        <w:t>(</w:t>
      </w:r>
      <w:r w:rsidR="00904C36" w:rsidRPr="006425E1">
        <w:rPr>
          <w:rFonts w:asciiTheme="minorHAnsi" w:hAnsiTheme="minorHAnsi" w:cstheme="majorBidi"/>
          <w:b/>
          <w:bCs/>
          <w:sz w:val="24"/>
          <w:szCs w:val="24"/>
        </w:rPr>
        <w:t>TOR</w:t>
      </w:r>
      <w:r>
        <w:rPr>
          <w:rFonts w:asciiTheme="minorHAnsi" w:hAnsiTheme="minorHAnsi" w:cstheme="majorBidi"/>
          <w:b/>
          <w:bCs/>
          <w:sz w:val="24"/>
          <w:szCs w:val="24"/>
        </w:rPr>
        <w:t>)</w:t>
      </w:r>
      <w:r w:rsidR="00904C36" w:rsidRPr="006425E1">
        <w:rPr>
          <w:rFonts w:asciiTheme="minorHAnsi" w:hAnsiTheme="minorHAnsi" w:cstheme="majorBidi"/>
          <w:b/>
          <w:bCs/>
          <w:sz w:val="24"/>
          <w:szCs w:val="24"/>
        </w:rPr>
        <w:t>.</w:t>
      </w:r>
    </w:p>
    <w:p w14:paraId="0B4777C2" w14:textId="34367B9D" w:rsidR="002547CD" w:rsidRPr="00495748" w:rsidRDefault="002547CD" w:rsidP="00CD406D">
      <w:pPr>
        <w:pStyle w:val="xmsonormal"/>
        <w:jc w:val="both"/>
        <w:rPr>
          <w:rFonts w:asciiTheme="minorHAnsi" w:eastAsia="Times New Roman" w:hAnsiTheme="minorHAnsi"/>
          <w:b/>
          <w:bCs/>
        </w:rPr>
      </w:pPr>
      <w:r w:rsidRPr="00495748">
        <w:rPr>
          <w:rFonts w:asciiTheme="minorHAnsi" w:hAnsiTheme="minorHAnsi" w:cstheme="majorBidi"/>
          <w:b/>
          <w:bCs/>
          <w:smallCaps/>
        </w:rPr>
        <w:t>5.2</w:t>
      </w:r>
      <w:r w:rsidRPr="00495748">
        <w:rPr>
          <w:rFonts w:asciiTheme="minorHAnsi" w:hAnsiTheme="minorHAnsi" w:cstheme="majorBidi"/>
          <w:smallCaps/>
        </w:rPr>
        <w:t xml:space="preserve"> </w:t>
      </w:r>
      <w:r w:rsidR="00586E62">
        <w:rPr>
          <w:rFonts w:asciiTheme="minorHAnsi" w:hAnsiTheme="minorHAnsi" w:cstheme="majorBidi"/>
          <w:smallCap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57154F" w:rsidRDefault="002547CD" w:rsidP="00CD406D">
      <w:pPr>
        <w:pStyle w:val="xmsonormal"/>
        <w:jc w:val="both"/>
        <w:rPr>
          <w:rFonts w:asciiTheme="minorHAnsi" w:eastAsia="Times New Roman" w:hAnsiTheme="minorHAnsi"/>
          <w:b/>
          <w:bCs/>
          <w:u w:val="single"/>
        </w:rPr>
      </w:pPr>
      <w:r w:rsidRPr="0057154F">
        <w:rPr>
          <w:rFonts w:asciiTheme="minorHAnsi" w:eastAsia="Times New Roman" w:hAnsiTheme="minorHAnsi"/>
          <w:b/>
          <w:bCs/>
          <w:u w:val="single"/>
        </w:rPr>
        <w:t>Mandatory requirement:</w:t>
      </w:r>
    </w:p>
    <w:p w14:paraId="19A7067A" w14:textId="77777777" w:rsidR="001E5995" w:rsidRDefault="001E5995" w:rsidP="00CD406D">
      <w:pPr>
        <w:pStyle w:val="xmsonormal"/>
        <w:jc w:val="both"/>
        <w:rPr>
          <w:rFonts w:asciiTheme="minorHAnsi" w:eastAsia="Times New Roman" w:hAnsiTheme="minorHAnsi"/>
          <w:b/>
          <w:bCs/>
        </w:rPr>
      </w:pPr>
    </w:p>
    <w:p w14:paraId="2E1869BC" w14:textId="1463F11E" w:rsidR="00913806" w:rsidRDefault="00913806" w:rsidP="00C63BAB">
      <w:pPr>
        <w:pStyle w:val="xmsonormal"/>
        <w:numPr>
          <w:ilvl w:val="0"/>
          <w:numId w:val="9"/>
        </w:numPr>
        <w:ind w:left="851" w:hanging="425"/>
        <w:jc w:val="both"/>
        <w:rPr>
          <w:rFonts w:asciiTheme="minorHAnsi" w:eastAsia="Times New Roman" w:hAnsiTheme="minorHAnsi"/>
          <w:b/>
          <w:bCs/>
        </w:rPr>
      </w:pPr>
      <w:r w:rsidRPr="00913806">
        <w:rPr>
          <w:rFonts w:asciiTheme="minorHAnsi" w:eastAsia="Times New Roman" w:hAnsiTheme="minorHAnsi"/>
          <w:b/>
          <w:bCs/>
        </w:rPr>
        <w:t>Expression of Interest &amp; Profile</w:t>
      </w:r>
      <w:r w:rsidR="001E5995">
        <w:rPr>
          <w:rFonts w:asciiTheme="minorHAnsi" w:eastAsia="Times New Roman" w:hAnsiTheme="minorHAnsi"/>
          <w:b/>
          <w:bCs/>
        </w:rPr>
        <w:t xml:space="preserve">: </w:t>
      </w:r>
      <w:r w:rsidR="001E5995" w:rsidRPr="001E5995">
        <w:rPr>
          <w:rFonts w:asciiTheme="minorHAnsi" w:eastAsia="Times New Roman" w:hAnsiTheme="minorHAnsi"/>
        </w:rPr>
        <w:t>A Cover Letter expressing interest in joining the MEAL Consultancy Framework Agreement</w:t>
      </w:r>
      <w:r w:rsidR="001E5995" w:rsidRPr="001E5995">
        <w:rPr>
          <w:rFonts w:asciiTheme="minorHAnsi" w:eastAsia="Times New Roman" w:hAnsiTheme="minorHAnsi"/>
          <w:b/>
          <w:bCs/>
        </w:rPr>
        <w:t>.</w:t>
      </w:r>
    </w:p>
    <w:p w14:paraId="79CD84E7" w14:textId="77777777" w:rsidR="00E302B2" w:rsidRPr="0057154F" w:rsidRDefault="00E302B2" w:rsidP="00C63BAB">
      <w:pPr>
        <w:pStyle w:val="xmsonormal"/>
        <w:numPr>
          <w:ilvl w:val="0"/>
          <w:numId w:val="9"/>
        </w:numPr>
        <w:ind w:left="851" w:hanging="425"/>
        <w:jc w:val="both"/>
        <w:rPr>
          <w:rFonts w:asciiTheme="minorHAnsi" w:eastAsia="Times New Roman" w:hAnsiTheme="minorHAnsi"/>
          <w:b/>
          <w:bCs/>
        </w:rPr>
      </w:pPr>
      <w:r w:rsidRPr="0057154F">
        <w:rPr>
          <w:rFonts w:asciiTheme="minorHAnsi" w:hAnsiTheme="minorHAnsi"/>
          <w:b/>
          <w:bCs/>
          <w:lang w:val="en-GB"/>
        </w:rPr>
        <w:t>Company / Individual Profile (choose applicable):</w:t>
      </w:r>
    </w:p>
    <w:p w14:paraId="5C7078A5" w14:textId="77777777" w:rsidR="00E302B2" w:rsidRPr="00E302B2" w:rsidRDefault="00E302B2" w:rsidP="0057154F">
      <w:pPr>
        <w:pStyle w:val="xmsonormal"/>
        <w:ind w:firstLine="720"/>
        <w:jc w:val="both"/>
        <w:rPr>
          <w:rFonts w:asciiTheme="minorHAnsi" w:hAnsiTheme="minorHAnsi"/>
          <w:b/>
          <w:bCs/>
          <w:lang w:val="en-GB"/>
        </w:rPr>
      </w:pPr>
      <w:r w:rsidRPr="00E302B2">
        <w:rPr>
          <w:rFonts w:asciiTheme="minorHAnsi" w:hAnsiTheme="minorHAnsi"/>
          <w:b/>
          <w:bCs/>
          <w:lang w:val="en-GB"/>
        </w:rPr>
        <w:t>If applying as a consulting firm:</w:t>
      </w:r>
    </w:p>
    <w:p w14:paraId="61D12CFA" w14:textId="77777777" w:rsidR="00E302B2" w:rsidRPr="00586E62" w:rsidRDefault="00E302B2" w:rsidP="00C63BAB">
      <w:pPr>
        <w:pStyle w:val="xmsonormal"/>
        <w:numPr>
          <w:ilvl w:val="0"/>
          <w:numId w:val="10"/>
        </w:numPr>
        <w:jc w:val="both"/>
        <w:rPr>
          <w:rFonts w:asciiTheme="minorHAnsi" w:hAnsiTheme="minorHAnsi"/>
          <w:lang w:val="en-GB"/>
        </w:rPr>
      </w:pPr>
      <w:r w:rsidRPr="00586E62">
        <w:rPr>
          <w:rFonts w:asciiTheme="minorHAnsi" w:hAnsiTheme="minorHAnsi"/>
          <w:lang w:val="en-GB"/>
        </w:rPr>
        <w:t xml:space="preserve">Company profile including introduction, organizational structure, and relevant experience. </w:t>
      </w:r>
    </w:p>
    <w:p w14:paraId="30B76743" w14:textId="77777777" w:rsidR="00E302B2" w:rsidRPr="00586E62" w:rsidRDefault="00E302B2" w:rsidP="00C63BAB">
      <w:pPr>
        <w:pStyle w:val="xmsonormal"/>
        <w:numPr>
          <w:ilvl w:val="0"/>
          <w:numId w:val="10"/>
        </w:numPr>
        <w:jc w:val="both"/>
        <w:rPr>
          <w:rFonts w:asciiTheme="minorHAnsi" w:hAnsiTheme="minorHAnsi"/>
          <w:lang w:val="en-GB"/>
        </w:rPr>
      </w:pPr>
      <w:r w:rsidRPr="00586E62">
        <w:rPr>
          <w:rFonts w:asciiTheme="minorHAnsi" w:hAnsiTheme="minorHAnsi"/>
          <w:lang w:val="en-GB"/>
        </w:rPr>
        <w:t xml:space="preserve">CVs of key personnel / proposed experts, including qualifications and experience. </w:t>
      </w:r>
    </w:p>
    <w:p w14:paraId="07013329" w14:textId="77777777" w:rsidR="00E302B2" w:rsidRDefault="00E302B2" w:rsidP="00C63BAB">
      <w:pPr>
        <w:pStyle w:val="xmsonormal"/>
        <w:numPr>
          <w:ilvl w:val="0"/>
          <w:numId w:val="10"/>
        </w:numPr>
        <w:jc w:val="both"/>
        <w:rPr>
          <w:rFonts w:asciiTheme="minorHAnsi" w:hAnsiTheme="minorHAnsi"/>
          <w:lang w:val="en-GB"/>
        </w:rPr>
      </w:pPr>
      <w:r w:rsidRPr="00586E62">
        <w:rPr>
          <w:rFonts w:asciiTheme="minorHAnsi" w:hAnsiTheme="minorHAnsi"/>
          <w:lang w:val="en-GB"/>
        </w:rPr>
        <w:t xml:space="preserve">Evidence of relevant experience in similar assignments (preferably with NGOs/INGOs or donor-funded projects). </w:t>
      </w:r>
    </w:p>
    <w:p w14:paraId="5BD96477" w14:textId="2373DA8B" w:rsidR="00F81B38" w:rsidRPr="00F81B38" w:rsidRDefault="0071216B" w:rsidP="00F81B38">
      <w:pPr>
        <w:pStyle w:val="xmsonormal"/>
        <w:numPr>
          <w:ilvl w:val="0"/>
          <w:numId w:val="10"/>
        </w:numPr>
        <w:jc w:val="both"/>
        <w:rPr>
          <w:rFonts w:asciiTheme="minorHAnsi" w:hAnsiTheme="minorHAnsi"/>
          <w:lang w:val="en-GB"/>
        </w:rPr>
      </w:pPr>
      <w:r w:rsidRPr="00F81B38">
        <w:rPr>
          <w:rFonts w:asciiTheme="minorHAnsi" w:hAnsiTheme="minorHAnsi"/>
          <w:lang w:val="en-GB"/>
        </w:rPr>
        <w:t>At least</w:t>
      </w:r>
      <w:r w:rsidR="00A20EF3" w:rsidRPr="00A20EF3">
        <w:rPr>
          <w:rFonts w:asciiTheme="minorHAnsi" w:hAnsiTheme="minorHAnsi"/>
        </w:rPr>
        <w:t xml:space="preserve"> one sample for each type of relevant previous MEAL assignment, including:</w:t>
      </w:r>
      <w:r w:rsidR="00F81B38" w:rsidRPr="00B66405">
        <w:rPr>
          <w:rFonts w:asciiTheme="minorHAnsi" w:hAnsiTheme="minorHAnsi"/>
          <w:lang w:val="en-GB"/>
        </w:rPr>
        <w:t xml:space="preserve"> evaluation reports, learning briefs, monitoring reports</w:t>
      </w:r>
      <w:r w:rsidR="00F81B38" w:rsidRPr="00F81B38">
        <w:rPr>
          <w:rFonts w:ascii="Aptos" w:hAnsi="Aptos"/>
          <w:sz w:val="22"/>
        </w:rPr>
        <w:t xml:space="preserve">, or </w:t>
      </w:r>
      <w:r w:rsidR="00F81B38" w:rsidRPr="00B66405">
        <w:rPr>
          <w:rFonts w:asciiTheme="minorHAnsi" w:hAnsiTheme="minorHAnsi"/>
          <w:lang w:val="en-GB"/>
        </w:rPr>
        <w:t>research products; MEAL training agenda, facilitation plan and training report, Monitoring trip report…</w:t>
      </w:r>
    </w:p>
    <w:p w14:paraId="71030726" w14:textId="77777777" w:rsidR="00F81B38" w:rsidRDefault="00F81B38" w:rsidP="0057154F">
      <w:pPr>
        <w:pStyle w:val="xmsonormal"/>
        <w:ind w:left="720"/>
        <w:jc w:val="both"/>
        <w:rPr>
          <w:rFonts w:asciiTheme="minorHAnsi" w:hAnsiTheme="minorHAnsi"/>
          <w:b/>
          <w:bCs/>
          <w:lang w:val="en-GB"/>
        </w:rPr>
      </w:pPr>
    </w:p>
    <w:p w14:paraId="2BC3FAE2" w14:textId="02FE4E00" w:rsidR="00E302B2" w:rsidRPr="00E302B2" w:rsidRDefault="00E302B2" w:rsidP="0057154F">
      <w:pPr>
        <w:pStyle w:val="xmsonormal"/>
        <w:ind w:left="720"/>
        <w:jc w:val="both"/>
        <w:rPr>
          <w:rFonts w:asciiTheme="minorHAnsi" w:hAnsiTheme="minorHAnsi"/>
          <w:b/>
          <w:bCs/>
          <w:lang w:val="en-GB"/>
        </w:rPr>
      </w:pPr>
      <w:r w:rsidRPr="00E302B2">
        <w:rPr>
          <w:rFonts w:asciiTheme="minorHAnsi" w:hAnsiTheme="minorHAnsi"/>
          <w:b/>
          <w:bCs/>
          <w:lang w:val="en-GB"/>
        </w:rPr>
        <w:t>If applying as individual consultant or consortium:</w:t>
      </w:r>
    </w:p>
    <w:p w14:paraId="187C8BAB" w14:textId="77777777" w:rsidR="00E302B2" w:rsidRPr="00D456ED" w:rsidRDefault="00E302B2" w:rsidP="00C63BAB">
      <w:pPr>
        <w:pStyle w:val="xmsonormal"/>
        <w:numPr>
          <w:ilvl w:val="0"/>
          <w:numId w:val="11"/>
        </w:numPr>
        <w:jc w:val="both"/>
        <w:rPr>
          <w:rFonts w:asciiTheme="minorHAnsi" w:hAnsiTheme="minorHAnsi"/>
          <w:lang w:val="en-GB"/>
        </w:rPr>
      </w:pPr>
      <w:r w:rsidRPr="00D456ED">
        <w:rPr>
          <w:rFonts w:asciiTheme="minorHAnsi" w:hAnsiTheme="minorHAnsi"/>
          <w:lang w:val="en-GB"/>
        </w:rPr>
        <w:t xml:space="preserve">Updated CV(s) of consultant(s), clearly indicating qualifications, relevant experience, and key assignments. </w:t>
      </w:r>
    </w:p>
    <w:p w14:paraId="7FAFC5B1" w14:textId="77777777" w:rsidR="001A0EEB" w:rsidRPr="00F81B38" w:rsidRDefault="001A0EEB" w:rsidP="001A0EEB">
      <w:pPr>
        <w:pStyle w:val="xmsonormal"/>
        <w:numPr>
          <w:ilvl w:val="0"/>
          <w:numId w:val="11"/>
        </w:numPr>
        <w:jc w:val="both"/>
        <w:rPr>
          <w:rFonts w:asciiTheme="minorHAnsi" w:hAnsiTheme="minorHAnsi"/>
          <w:lang w:val="en-GB"/>
        </w:rPr>
      </w:pPr>
      <w:r w:rsidRPr="00F81B38">
        <w:rPr>
          <w:rFonts w:asciiTheme="minorHAnsi" w:hAnsiTheme="minorHAnsi"/>
          <w:lang w:val="en-GB"/>
        </w:rPr>
        <w:t>At least</w:t>
      </w:r>
      <w:r w:rsidRPr="00A20EF3">
        <w:rPr>
          <w:rFonts w:asciiTheme="minorHAnsi" w:hAnsiTheme="minorHAnsi"/>
        </w:rPr>
        <w:t xml:space="preserve"> one sample for each type of relevant previous MEAL assignment, including:</w:t>
      </w:r>
      <w:r w:rsidRPr="00B66405">
        <w:rPr>
          <w:rFonts w:asciiTheme="minorHAnsi" w:hAnsiTheme="minorHAnsi"/>
          <w:lang w:val="en-GB"/>
        </w:rPr>
        <w:t xml:space="preserve"> evaluation reports, learning briefs, monitoring reports</w:t>
      </w:r>
      <w:r w:rsidRPr="00F81B38">
        <w:rPr>
          <w:rFonts w:ascii="Aptos" w:hAnsi="Aptos"/>
          <w:sz w:val="22"/>
        </w:rPr>
        <w:t xml:space="preserve">, or </w:t>
      </w:r>
      <w:r w:rsidRPr="00B66405">
        <w:rPr>
          <w:rFonts w:asciiTheme="minorHAnsi" w:hAnsiTheme="minorHAnsi"/>
          <w:lang w:val="en-GB"/>
        </w:rPr>
        <w:t>research products; MEAL training agenda, facilitation plan and training report, Monitoring trip report…</w:t>
      </w:r>
    </w:p>
    <w:p w14:paraId="434E5D29" w14:textId="77777777" w:rsidR="002547CD" w:rsidRDefault="002547CD" w:rsidP="00C63BAB">
      <w:pPr>
        <w:pStyle w:val="ListParagraph"/>
        <w:numPr>
          <w:ilvl w:val="0"/>
          <w:numId w:val="5"/>
        </w:numPr>
        <w:spacing w:before="100" w:beforeAutospacing="1" w:after="100" w:afterAutospacing="1"/>
        <w:ind w:left="851" w:hanging="425"/>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0DEB14D5" w14:textId="77777777" w:rsidR="00324276" w:rsidRPr="0057154F" w:rsidRDefault="002547CD" w:rsidP="00C63BAB">
      <w:pPr>
        <w:pStyle w:val="ListParagraph"/>
        <w:numPr>
          <w:ilvl w:val="0"/>
          <w:numId w:val="5"/>
        </w:numPr>
        <w:spacing w:before="100" w:beforeAutospacing="1" w:after="100" w:afterAutospacing="1"/>
        <w:ind w:left="851" w:hanging="425"/>
        <w:rPr>
          <w:rFonts w:asciiTheme="minorHAnsi" w:eastAsiaTheme="minorHAnsi" w:hAnsiTheme="minorHAnsi"/>
          <w:sz w:val="24"/>
          <w:szCs w:val="24"/>
          <w:lang w:val="en-GB"/>
        </w:rPr>
      </w:pPr>
      <w:r w:rsidRPr="0057154F">
        <w:rPr>
          <w:rFonts w:asciiTheme="minorHAnsi" w:eastAsiaTheme="minorHAnsi" w:hAnsiTheme="minorHAnsi"/>
          <w:b/>
          <w:bCs/>
          <w:sz w:val="24"/>
          <w:szCs w:val="24"/>
          <w:lang w:val="en-GB"/>
        </w:rPr>
        <w:t>Financial Quotation</w:t>
      </w:r>
      <w:r w:rsidRPr="0057154F">
        <w:rPr>
          <w:rFonts w:asciiTheme="minorHAnsi" w:eastAsiaTheme="minorHAnsi" w:hAnsiTheme="minorHAnsi"/>
          <w:sz w:val="24"/>
          <w:szCs w:val="24"/>
          <w:lang w:val="en-GB"/>
        </w:rPr>
        <w:t xml:space="preserve">: </w:t>
      </w:r>
    </w:p>
    <w:p w14:paraId="079B0F78" w14:textId="080DA121" w:rsidR="00324276" w:rsidRDefault="00324276" w:rsidP="00C63BAB">
      <w:pPr>
        <w:pStyle w:val="ListParagraph"/>
        <w:numPr>
          <w:ilvl w:val="0"/>
          <w:numId w:val="12"/>
        </w:numPr>
        <w:spacing w:before="100" w:beforeAutospacing="1" w:after="100" w:afterAutospacing="1"/>
        <w:rPr>
          <w:rFonts w:asciiTheme="minorHAnsi" w:eastAsiaTheme="minorHAnsi" w:hAnsiTheme="minorHAnsi"/>
          <w:sz w:val="24"/>
          <w:szCs w:val="24"/>
          <w:lang w:val="en-GB"/>
        </w:rPr>
      </w:pPr>
      <w:r w:rsidRPr="00324276">
        <w:rPr>
          <w:rFonts w:asciiTheme="minorHAnsi" w:eastAsiaTheme="minorHAnsi" w:hAnsiTheme="minorHAnsi"/>
          <w:sz w:val="24"/>
          <w:szCs w:val="24"/>
          <w:lang w:val="en-GB"/>
        </w:rPr>
        <w:t xml:space="preserve">Daily consultancy rates for each proposed position in VND. </w:t>
      </w:r>
    </w:p>
    <w:p w14:paraId="62AD2FEE" w14:textId="405A632E" w:rsidR="00324276" w:rsidRPr="00324276" w:rsidRDefault="00324276" w:rsidP="00C63BAB">
      <w:pPr>
        <w:pStyle w:val="ListParagraph"/>
        <w:numPr>
          <w:ilvl w:val="0"/>
          <w:numId w:val="12"/>
        </w:numPr>
        <w:spacing w:before="100" w:beforeAutospacing="1" w:after="100" w:afterAutospacing="1"/>
        <w:rPr>
          <w:rFonts w:asciiTheme="minorHAnsi" w:eastAsiaTheme="minorHAnsi" w:hAnsiTheme="minorHAnsi"/>
          <w:sz w:val="24"/>
          <w:szCs w:val="24"/>
          <w:lang w:val="en-GB"/>
        </w:rPr>
      </w:pPr>
      <w:r w:rsidRPr="00324276">
        <w:rPr>
          <w:rFonts w:asciiTheme="minorHAnsi" w:eastAsiaTheme="minorHAnsi" w:hAnsiTheme="minorHAnsi"/>
          <w:sz w:val="24"/>
          <w:szCs w:val="24"/>
          <w:lang w:val="en-GB"/>
        </w:rPr>
        <w:t xml:space="preserve">Rates should clearly indicate whether: </w:t>
      </w:r>
    </w:p>
    <w:p w14:paraId="2914A64A" w14:textId="77777777" w:rsidR="00324276" w:rsidRDefault="00324276" w:rsidP="00C63BAB">
      <w:pPr>
        <w:pStyle w:val="ListParagraph"/>
        <w:numPr>
          <w:ilvl w:val="0"/>
          <w:numId w:val="13"/>
        </w:numPr>
        <w:ind w:left="2694" w:hanging="567"/>
        <w:rPr>
          <w:rFonts w:asciiTheme="minorHAnsi" w:eastAsiaTheme="minorHAnsi" w:hAnsiTheme="minorHAnsi"/>
          <w:sz w:val="24"/>
          <w:szCs w:val="24"/>
          <w:lang w:val="en-GB"/>
        </w:rPr>
      </w:pPr>
      <w:r w:rsidRPr="00324276">
        <w:rPr>
          <w:rFonts w:asciiTheme="minorHAnsi" w:eastAsiaTheme="minorHAnsi" w:hAnsiTheme="minorHAnsi"/>
          <w:sz w:val="24"/>
          <w:szCs w:val="24"/>
          <w:lang w:val="en-GB"/>
        </w:rPr>
        <w:t xml:space="preserve">VAT is included (for companies), or </w:t>
      </w:r>
    </w:p>
    <w:p w14:paraId="183C1CC8" w14:textId="77777777" w:rsidR="00324276" w:rsidRDefault="00324276" w:rsidP="00C63BAB">
      <w:pPr>
        <w:pStyle w:val="ListParagraph"/>
        <w:numPr>
          <w:ilvl w:val="0"/>
          <w:numId w:val="13"/>
        </w:numPr>
        <w:ind w:left="2694" w:hanging="567"/>
        <w:rPr>
          <w:rFonts w:asciiTheme="minorHAnsi" w:eastAsiaTheme="minorHAnsi" w:hAnsiTheme="minorHAnsi"/>
          <w:sz w:val="24"/>
          <w:szCs w:val="24"/>
          <w:lang w:val="en-GB"/>
        </w:rPr>
      </w:pPr>
      <w:r w:rsidRPr="002B16D5">
        <w:rPr>
          <w:rFonts w:asciiTheme="minorHAnsi" w:eastAsiaTheme="minorHAnsi" w:hAnsiTheme="minorHAnsi"/>
          <w:sz w:val="24"/>
          <w:szCs w:val="24"/>
          <w:lang w:val="en-GB"/>
        </w:rPr>
        <w:t>Personal income tax (PIT) is included (for individuals)</w:t>
      </w:r>
    </w:p>
    <w:p w14:paraId="7ED59F9B" w14:textId="2E378ECF" w:rsidR="00BF34B3" w:rsidRPr="002B16D5" w:rsidRDefault="002B16D5" w:rsidP="00C63BAB">
      <w:pPr>
        <w:pStyle w:val="ListParagraph"/>
        <w:numPr>
          <w:ilvl w:val="0"/>
          <w:numId w:val="13"/>
        </w:numPr>
        <w:ind w:left="2694" w:hanging="567"/>
        <w:rPr>
          <w:rFonts w:asciiTheme="minorHAnsi" w:eastAsiaTheme="minorHAnsi" w:hAnsiTheme="minorHAnsi"/>
          <w:sz w:val="24"/>
          <w:szCs w:val="24"/>
          <w:lang w:val="en-GB"/>
        </w:rPr>
      </w:pPr>
      <w:r w:rsidRPr="002B16D5">
        <w:rPr>
          <w:rFonts w:asciiTheme="minorHAnsi" w:eastAsiaTheme="minorHAnsi" w:hAnsiTheme="minorHAnsi"/>
          <w:sz w:val="24"/>
          <w:szCs w:val="24"/>
        </w:rPr>
        <w:t>Other expenses (if any)</w:t>
      </w:r>
      <w:r>
        <w:rPr>
          <w:rFonts w:asciiTheme="minorHAnsi" w:eastAsiaTheme="minorHAnsi" w:hAnsiTheme="minorHAnsi"/>
          <w:sz w:val="24"/>
          <w:szCs w:val="24"/>
        </w:rPr>
        <w:t>. Please note that reimbursement such as Perdiem, travel</w:t>
      </w:r>
      <w:r w:rsidR="00840E35">
        <w:rPr>
          <w:rFonts w:asciiTheme="minorHAnsi" w:eastAsiaTheme="minorHAnsi" w:hAnsiTheme="minorHAnsi"/>
          <w:sz w:val="24"/>
          <w:szCs w:val="24"/>
        </w:rPr>
        <w:t>, accommodation will be applied under CARE’s costnorm</w:t>
      </w:r>
    </w:p>
    <w:p w14:paraId="3058B84D" w14:textId="5528EB76" w:rsidR="002547CD" w:rsidRPr="00495748" w:rsidRDefault="002547CD" w:rsidP="002B16D5">
      <w:pPr>
        <w:pStyle w:val="ListParagraph"/>
        <w:spacing w:before="100" w:beforeAutospacing="1" w:after="100" w:afterAutospacing="1"/>
        <w:ind w:left="1440"/>
        <w:rPr>
          <w:rFonts w:asciiTheme="minorHAnsi" w:eastAsiaTheme="minorHAnsi" w:hAnsiTheme="minorHAnsi"/>
          <w:sz w:val="24"/>
          <w:szCs w:val="24"/>
          <w:lang w:val="en-GB"/>
        </w:rPr>
      </w:pPr>
    </w:p>
    <w:p w14:paraId="574CDB7F" w14:textId="77777777" w:rsidR="0057154F" w:rsidRPr="0057154F" w:rsidRDefault="002547CD" w:rsidP="00C63BAB">
      <w:pPr>
        <w:pStyle w:val="ListParagraph"/>
        <w:numPr>
          <w:ilvl w:val="0"/>
          <w:numId w:val="5"/>
        </w:numPr>
        <w:spacing w:before="100" w:beforeAutospacing="1" w:after="100" w:afterAutospacing="1"/>
        <w:ind w:left="851" w:hanging="425"/>
        <w:rPr>
          <w:rFonts w:asciiTheme="minorHAnsi" w:eastAsiaTheme="minorHAnsi" w:hAnsiTheme="minorHAnsi"/>
          <w:b/>
          <w:bCs/>
          <w:sz w:val="24"/>
          <w:szCs w:val="24"/>
          <w:lang w:val="en-GB"/>
        </w:rPr>
      </w:pPr>
      <w:r w:rsidRPr="0057154F">
        <w:rPr>
          <w:rFonts w:asciiTheme="minorHAnsi" w:eastAsiaTheme="minorHAnsi" w:hAnsiTheme="minorHAnsi"/>
          <w:b/>
          <w:bCs/>
          <w:sz w:val="24"/>
          <w:szCs w:val="24"/>
          <w:lang w:val="en-GB"/>
        </w:rPr>
        <w:t>Business Registration Certificate/Business License</w:t>
      </w:r>
      <w:r w:rsidRPr="0057154F">
        <w:rPr>
          <w:rFonts w:asciiTheme="minorHAnsi" w:eastAsiaTheme="minorHAnsi" w:hAnsiTheme="minorHAnsi"/>
          <w:sz w:val="24"/>
          <w:szCs w:val="24"/>
          <w:lang w:val="en-GB"/>
        </w:rPr>
        <w:t xml:space="preserve"> </w:t>
      </w:r>
      <w:r w:rsidR="0057154F">
        <w:rPr>
          <w:rFonts w:asciiTheme="minorHAnsi" w:eastAsiaTheme="minorHAnsi" w:hAnsiTheme="minorHAnsi"/>
          <w:sz w:val="24"/>
          <w:szCs w:val="24"/>
          <w:lang w:val="en-GB"/>
        </w:rPr>
        <w:t>:</w:t>
      </w:r>
    </w:p>
    <w:p w14:paraId="16CD1E73" w14:textId="10D505D1" w:rsidR="0057154F" w:rsidRPr="0057154F" w:rsidRDefault="0057154F" w:rsidP="0057154F">
      <w:pPr>
        <w:pStyle w:val="ListParagraph"/>
        <w:spacing w:before="100" w:beforeAutospacing="1" w:after="100" w:afterAutospacing="1"/>
        <w:ind w:left="851" w:hanging="142"/>
        <w:rPr>
          <w:rFonts w:asciiTheme="minorHAnsi" w:eastAsiaTheme="minorHAnsi" w:hAnsiTheme="minorHAnsi"/>
          <w:b/>
          <w:bCs/>
          <w:sz w:val="24"/>
          <w:szCs w:val="24"/>
          <w:lang w:val="en-GB"/>
        </w:rPr>
      </w:pPr>
      <w:r w:rsidRPr="0057154F">
        <w:rPr>
          <w:rFonts w:hAnsi="Symbol"/>
          <w:sz w:val="24"/>
          <w:szCs w:val="24"/>
          <w:lang w:val="en-GB" w:eastAsia="en-GB"/>
        </w:rPr>
        <w:t></w:t>
      </w:r>
      <w:r w:rsidRPr="0057154F">
        <w:rPr>
          <w:sz w:val="24"/>
          <w:szCs w:val="24"/>
          <w:lang w:val="en-GB" w:eastAsia="en-GB"/>
        </w:rPr>
        <w:t xml:space="preserve">  </w:t>
      </w:r>
      <w:r w:rsidRPr="0057154F">
        <w:rPr>
          <w:rFonts w:asciiTheme="minorHAnsi" w:eastAsiaTheme="minorHAnsi" w:hAnsiTheme="minorHAnsi"/>
          <w:sz w:val="24"/>
          <w:szCs w:val="24"/>
          <w:lang w:val="en-GB"/>
        </w:rPr>
        <w:t>Business Registration Certificate / Business License (for consulting firms only)</w:t>
      </w:r>
    </w:p>
    <w:p w14:paraId="38FC4F39" w14:textId="0ACDDE12" w:rsidR="0057154F" w:rsidRPr="0057154F" w:rsidRDefault="0057154F" w:rsidP="00C63BAB">
      <w:pPr>
        <w:pStyle w:val="ListParagraph"/>
        <w:numPr>
          <w:ilvl w:val="0"/>
          <w:numId w:val="14"/>
        </w:numPr>
        <w:ind w:left="993" w:hanging="284"/>
        <w:rPr>
          <w:rFonts w:asciiTheme="minorHAnsi" w:eastAsiaTheme="minorHAnsi" w:hAnsiTheme="minorHAnsi"/>
          <w:sz w:val="24"/>
          <w:szCs w:val="24"/>
          <w:lang w:val="en-GB"/>
        </w:rPr>
      </w:pPr>
      <w:r w:rsidRPr="0057154F">
        <w:rPr>
          <w:rFonts w:asciiTheme="minorHAnsi" w:eastAsiaTheme="minorHAnsi" w:hAnsiTheme="minorHAnsi"/>
          <w:sz w:val="24"/>
          <w:szCs w:val="24"/>
          <w:lang w:val="en-GB"/>
        </w:rPr>
        <w:t>Copy of National ID Card / Citizen ID (for individual consultants or members of a consortium)</w:t>
      </w:r>
    </w:p>
    <w:p w14:paraId="6C7F7880" w14:textId="33713F42" w:rsidR="002547CD" w:rsidRPr="0057154F" w:rsidRDefault="002547CD" w:rsidP="0057154F">
      <w:pPr>
        <w:spacing w:before="100" w:beforeAutospacing="1" w:after="100" w:afterAutospacing="1"/>
        <w:rPr>
          <w:rFonts w:asciiTheme="minorHAnsi" w:eastAsiaTheme="minorHAnsi" w:hAnsiTheme="minorHAnsi"/>
          <w:b/>
          <w:bCs/>
          <w:sz w:val="24"/>
          <w:szCs w:val="24"/>
          <w:u w:val="single"/>
          <w:lang w:val="en-GB"/>
        </w:rPr>
      </w:pPr>
      <w:r w:rsidRPr="0057154F">
        <w:rPr>
          <w:rFonts w:asciiTheme="minorHAnsi" w:eastAsiaTheme="minorHAnsi" w:hAnsiTheme="minorHAnsi"/>
          <w:b/>
          <w:bCs/>
          <w:sz w:val="24"/>
          <w:szCs w:val="24"/>
          <w:u w:val="single"/>
          <w:lang w:val="en-GB"/>
        </w:rPr>
        <w:t>Other requirements:</w:t>
      </w:r>
    </w:p>
    <w:p w14:paraId="713EB52B" w14:textId="7CFB2B30" w:rsidR="002547CD" w:rsidRPr="00495748" w:rsidRDefault="002547CD" w:rsidP="00C63BAB">
      <w:pPr>
        <w:pStyle w:val="ListParagraph"/>
        <w:numPr>
          <w:ilvl w:val="0"/>
          <w:numId w:val="5"/>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lastRenderedPageBreak/>
        <w:t>Financial Capacity</w:t>
      </w:r>
      <w:r w:rsidR="00CA7D52">
        <w:rPr>
          <w:rFonts w:asciiTheme="minorHAnsi" w:eastAsiaTheme="minorHAnsi" w:hAnsiTheme="minorHAnsi"/>
          <w:b/>
          <w:bCs/>
          <w:sz w:val="24"/>
          <w:szCs w:val="24"/>
          <w:lang w:val="en-GB"/>
        </w:rPr>
        <w:t xml:space="preserve"> (applicable for firm only)</w:t>
      </w:r>
      <w:r w:rsidRPr="00495748">
        <w:rPr>
          <w:rFonts w:asciiTheme="minorHAnsi" w:eastAsiaTheme="minorHAnsi" w:hAnsiTheme="minorHAnsi"/>
          <w:sz w:val="24"/>
          <w:szCs w:val="24"/>
          <w:lang w:val="en-GB"/>
        </w:rPr>
        <w:t>:</w:t>
      </w:r>
      <w:r w:rsidR="00D87AA8">
        <w:rPr>
          <w:rFonts w:asciiTheme="minorHAnsi" w:eastAsiaTheme="minorHAnsi" w:hAnsiTheme="minorHAnsi"/>
          <w:sz w:val="24"/>
          <w:szCs w:val="24"/>
          <w:lang w:val="en-GB"/>
        </w:rPr>
        <w:t xml:space="preserve"> </w:t>
      </w:r>
      <w:r w:rsidRPr="00495748">
        <w:rPr>
          <w:rFonts w:asciiTheme="minorHAnsi" w:eastAsiaTheme="minorHAnsi" w:hAnsiTheme="minorHAnsi"/>
          <w:sz w:val="24"/>
          <w:szCs w:val="24"/>
          <w:lang w:val="en-GB"/>
        </w:rPr>
        <w:t>Copies of audited financial statements or tax reports for the most recent two (02) years</w:t>
      </w:r>
      <w:r w:rsidR="00D87AA8">
        <w:rPr>
          <w:rFonts w:asciiTheme="minorHAnsi" w:eastAsiaTheme="minorHAnsi" w:hAnsiTheme="minorHAnsi"/>
          <w:sz w:val="24"/>
          <w:szCs w:val="24"/>
          <w:lang w:val="en-GB"/>
        </w:rPr>
        <w:t xml:space="preserve"> </w:t>
      </w:r>
    </w:p>
    <w:p w14:paraId="0DB91767" w14:textId="2C0199B4" w:rsidR="002547CD" w:rsidRPr="0065353A" w:rsidRDefault="002547CD" w:rsidP="00C63BAB">
      <w:pPr>
        <w:pStyle w:val="ListParagraph"/>
        <w:numPr>
          <w:ilvl w:val="0"/>
          <w:numId w:val="5"/>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5C19F892" w14:textId="3F245FBF" w:rsidR="0065353A" w:rsidRPr="007F39E4" w:rsidRDefault="0065353A" w:rsidP="00C63BAB">
      <w:pPr>
        <w:pStyle w:val="ListBullet"/>
        <w:numPr>
          <w:ilvl w:val="0"/>
          <w:numId w:val="5"/>
        </w:numPr>
        <w:spacing w:before="120" w:after="120" w:line="240" w:lineRule="auto"/>
        <w:jc w:val="both"/>
        <w:rPr>
          <w:rFonts w:asciiTheme="minorHAnsi" w:eastAsiaTheme="minorHAnsi" w:hAnsiTheme="minorHAnsi" w:cs="Times New Roman"/>
          <w:b/>
          <w:bCs/>
          <w:sz w:val="24"/>
          <w:szCs w:val="24"/>
          <w:lang w:val="en-GB"/>
        </w:rPr>
      </w:pPr>
      <w:r w:rsidRPr="007F39E4">
        <w:rPr>
          <w:rFonts w:asciiTheme="minorHAnsi" w:eastAsiaTheme="minorHAnsi" w:hAnsiTheme="minorHAnsi" w:cs="Times New Roman"/>
          <w:b/>
          <w:bCs/>
          <w:sz w:val="24"/>
          <w:szCs w:val="24"/>
          <w:lang w:val="en-GB"/>
        </w:rPr>
        <w:t>At least two professional references from previous clients.</w:t>
      </w:r>
    </w:p>
    <w:p w14:paraId="10C389BC" w14:textId="6C9A3FE4" w:rsidR="002547CD" w:rsidRPr="00495748" w:rsidRDefault="002547CD" w:rsidP="00C63BAB">
      <w:pPr>
        <w:pStyle w:val="ListParagraph"/>
        <w:numPr>
          <w:ilvl w:val="0"/>
          <w:numId w:val="5"/>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r w:rsidR="006A31D7">
        <w:rPr>
          <w:rFonts w:asciiTheme="minorHAnsi" w:eastAsiaTheme="minorHAnsi" w:hAnsiTheme="minorHAnsi"/>
          <w:sz w:val="24"/>
          <w:szCs w:val="24"/>
        </w:rPr>
        <w:t xml:space="preserve">. </w:t>
      </w:r>
    </w:p>
    <w:p w14:paraId="4E758C5A" w14:textId="7676F139" w:rsidR="002547CD" w:rsidRPr="004E180F" w:rsidRDefault="00CD406D" w:rsidP="000C700A">
      <w:pPr>
        <w:spacing w:after="160" w:line="259" w:lineRule="auto"/>
        <w:rPr>
          <w:rFonts w:asciiTheme="minorHAnsi" w:eastAsiaTheme="minorHAnsi" w:hAnsiTheme="minorHAnsi"/>
          <w:b/>
          <w:bCs/>
          <w:color w:val="EE0000"/>
          <w:sz w:val="24"/>
          <w:szCs w:val="24"/>
          <w:u w:val="single"/>
        </w:rPr>
      </w:pPr>
      <w:r w:rsidRPr="004E180F">
        <w:rPr>
          <w:rFonts w:asciiTheme="minorHAnsi" w:eastAsiaTheme="minorHAnsi" w:hAnsiTheme="minorHAnsi"/>
          <w:b/>
          <w:bCs/>
          <w:color w:val="EE0000"/>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4" w:name="_Toc201134209"/>
      <w:bookmarkStart w:id="15" w:name="_Toc201134397"/>
      <w:bookmarkStart w:id="16" w:name="_Toc201134585"/>
      <w:bookmarkStart w:id="17" w:name="_Toc201134773"/>
      <w:bookmarkStart w:id="18" w:name="_Toc230603152"/>
      <w:bookmarkEnd w:id="14"/>
      <w:bookmarkEnd w:id="15"/>
      <w:bookmarkEnd w:id="16"/>
      <w:bookmarkEnd w:id="17"/>
      <w:r w:rsidRPr="00495748">
        <w:rPr>
          <w:rFonts w:asciiTheme="minorHAnsi" w:hAnsiTheme="minorHAnsi"/>
          <w:b/>
          <w:bCs/>
          <w:smallCaps/>
          <w:color w:val="auto"/>
          <w:sz w:val="24"/>
          <w:szCs w:val="24"/>
        </w:rPr>
        <w:t>EVALUATION CRITERIA</w:t>
      </w:r>
      <w:bookmarkEnd w:id="18"/>
      <w:r w:rsidRPr="00495748">
        <w:rPr>
          <w:rFonts w:asciiTheme="minorHAnsi" w:hAnsiTheme="minorHAnsi"/>
          <w:b/>
          <w:bCs/>
          <w:smallCaps/>
          <w:color w:val="auto"/>
          <w:sz w:val="24"/>
          <w:szCs w:val="24"/>
        </w:rPr>
        <w:t>  </w:t>
      </w:r>
    </w:p>
    <w:p w14:paraId="358D4761" w14:textId="2B17ED6A" w:rsidR="002547CD"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3BA3A4A3" w14:textId="78388D6C" w:rsidR="00863F2C" w:rsidRPr="00863F2C" w:rsidRDefault="00CD406D" w:rsidP="00863F2C">
      <w:pPr>
        <w:pStyle w:val="ListParagraph"/>
        <w:numPr>
          <w:ilvl w:val="0"/>
          <w:numId w:val="8"/>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w:t>
      </w:r>
      <w:r w:rsidR="00080915">
        <w:rPr>
          <w:rFonts w:asciiTheme="minorHAnsi" w:hAnsiTheme="minorHAnsi" w:cstheme="majorBidi"/>
          <w:b/>
          <w:bCs/>
          <w:sz w:val="24"/>
          <w:szCs w:val="24"/>
          <w:lang w:val="en-GB"/>
        </w:rPr>
        <w:t>8</w:t>
      </w:r>
      <w:r w:rsidRPr="00495748">
        <w:rPr>
          <w:rFonts w:asciiTheme="minorHAnsi" w:hAnsiTheme="minorHAnsi" w:cstheme="majorBidi"/>
          <w:b/>
          <w:bCs/>
          <w:sz w:val="24"/>
          <w:szCs w:val="24"/>
          <w:lang w:val="en-GB"/>
        </w:rPr>
        <w:t>0 points):</w:t>
      </w:r>
    </w:p>
    <w:p w14:paraId="5858CE5A" w14:textId="77777777" w:rsidR="00863F2C" w:rsidRDefault="00863F2C" w:rsidP="00863F2C"/>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1760"/>
        <w:gridCol w:w="6603"/>
        <w:gridCol w:w="1701"/>
      </w:tblGrid>
      <w:tr w:rsidR="00A367C6" w:rsidRPr="00851A08" w14:paraId="0C215830" w14:textId="5BA2DDD6" w:rsidTr="00A367C6">
        <w:trPr>
          <w:tblHeader/>
        </w:trPr>
        <w:tc>
          <w:tcPr>
            <w:tcW w:w="710" w:type="dxa"/>
            <w:shd w:val="clear" w:color="auto" w:fill="83CAEB" w:themeFill="accent1" w:themeFillTint="66"/>
            <w:vAlign w:val="center"/>
            <w:hideMark/>
          </w:tcPr>
          <w:p w14:paraId="61F12604" w14:textId="77777777" w:rsidR="00A367C6" w:rsidRPr="00863F2C" w:rsidRDefault="00A367C6" w:rsidP="00A367C6">
            <w:pPr>
              <w:rPr>
                <w:rFonts w:asciiTheme="minorHAnsi" w:hAnsiTheme="minorHAnsi"/>
                <w:b/>
                <w:bCs/>
                <w:sz w:val="24"/>
                <w:szCs w:val="24"/>
              </w:rPr>
            </w:pPr>
            <w:r w:rsidRPr="00863F2C">
              <w:rPr>
                <w:rFonts w:asciiTheme="minorHAnsi" w:hAnsiTheme="minorHAnsi"/>
                <w:b/>
                <w:bCs/>
                <w:sz w:val="24"/>
                <w:szCs w:val="24"/>
              </w:rPr>
              <w:t>No</w:t>
            </w:r>
          </w:p>
        </w:tc>
        <w:tc>
          <w:tcPr>
            <w:tcW w:w="0" w:type="auto"/>
            <w:shd w:val="clear" w:color="auto" w:fill="83CAEB" w:themeFill="accent1" w:themeFillTint="66"/>
            <w:vAlign w:val="center"/>
            <w:hideMark/>
          </w:tcPr>
          <w:p w14:paraId="7B4C40B0" w14:textId="02175677" w:rsidR="00A367C6" w:rsidRPr="00863F2C" w:rsidRDefault="00A367C6" w:rsidP="00A367C6">
            <w:pPr>
              <w:rPr>
                <w:rFonts w:asciiTheme="minorHAnsi" w:hAnsiTheme="minorHAnsi"/>
                <w:b/>
                <w:bCs/>
                <w:sz w:val="24"/>
                <w:szCs w:val="24"/>
              </w:rPr>
            </w:pPr>
            <w:r w:rsidRPr="00863F2C">
              <w:rPr>
                <w:rFonts w:asciiTheme="minorHAnsi" w:hAnsiTheme="minorHAnsi" w:cstheme="majorBidi"/>
                <w:b/>
                <w:bCs/>
                <w:sz w:val="24"/>
                <w:szCs w:val="24"/>
                <w:lang w:val="en-GB"/>
              </w:rPr>
              <w:t>Selection criteria</w:t>
            </w:r>
          </w:p>
        </w:tc>
        <w:tc>
          <w:tcPr>
            <w:tcW w:w="6603" w:type="dxa"/>
            <w:shd w:val="clear" w:color="auto" w:fill="83CAEB" w:themeFill="accent1" w:themeFillTint="66"/>
            <w:vAlign w:val="center"/>
            <w:hideMark/>
          </w:tcPr>
          <w:p w14:paraId="2CA9E0C9" w14:textId="77777777" w:rsidR="00A367C6" w:rsidRPr="00863F2C" w:rsidRDefault="00A367C6" w:rsidP="00A367C6">
            <w:pPr>
              <w:rPr>
                <w:rFonts w:asciiTheme="minorHAnsi" w:hAnsiTheme="minorHAnsi"/>
                <w:b/>
                <w:bCs/>
                <w:sz w:val="24"/>
                <w:szCs w:val="24"/>
              </w:rPr>
            </w:pPr>
            <w:r w:rsidRPr="00863F2C">
              <w:rPr>
                <w:rFonts w:asciiTheme="minorHAnsi" w:hAnsiTheme="minorHAnsi"/>
                <w:b/>
                <w:bCs/>
                <w:sz w:val="24"/>
                <w:szCs w:val="24"/>
              </w:rPr>
              <w:t>Description / scoring guidance</w:t>
            </w:r>
          </w:p>
        </w:tc>
        <w:tc>
          <w:tcPr>
            <w:tcW w:w="1701" w:type="dxa"/>
            <w:shd w:val="clear" w:color="auto" w:fill="83CAEB" w:themeFill="accent1" w:themeFillTint="66"/>
            <w:vAlign w:val="center"/>
          </w:tcPr>
          <w:p w14:paraId="17699DB8" w14:textId="5E60B4F6" w:rsidR="00A367C6" w:rsidRPr="00863F2C" w:rsidRDefault="00A367C6" w:rsidP="00A367C6">
            <w:pPr>
              <w:rPr>
                <w:rFonts w:asciiTheme="minorHAnsi" w:hAnsiTheme="minorHAnsi"/>
                <w:b/>
                <w:bCs/>
                <w:sz w:val="24"/>
                <w:szCs w:val="24"/>
              </w:rPr>
            </w:pPr>
            <w:r w:rsidRPr="00863F2C">
              <w:rPr>
                <w:rFonts w:asciiTheme="minorHAnsi" w:hAnsiTheme="minorHAnsi"/>
                <w:b/>
                <w:bCs/>
                <w:sz w:val="24"/>
                <w:szCs w:val="24"/>
              </w:rPr>
              <w:t>Score</w:t>
            </w:r>
          </w:p>
        </w:tc>
      </w:tr>
      <w:tr w:rsidR="00A367C6" w:rsidRPr="00851A08" w14:paraId="298B4725" w14:textId="21D0B2A9" w:rsidTr="00A367C6">
        <w:tc>
          <w:tcPr>
            <w:tcW w:w="710" w:type="dxa"/>
            <w:vAlign w:val="center"/>
            <w:hideMark/>
          </w:tcPr>
          <w:p w14:paraId="7640E2C1" w14:textId="77777777" w:rsidR="00A367C6" w:rsidRPr="00863F2C" w:rsidRDefault="00A367C6" w:rsidP="00A367C6">
            <w:pPr>
              <w:rPr>
                <w:rFonts w:asciiTheme="minorHAnsi" w:hAnsiTheme="minorHAnsi"/>
                <w:sz w:val="24"/>
                <w:szCs w:val="24"/>
              </w:rPr>
            </w:pPr>
            <w:r w:rsidRPr="00863F2C">
              <w:rPr>
                <w:rFonts w:asciiTheme="minorHAnsi" w:hAnsiTheme="minorHAnsi"/>
                <w:sz w:val="24"/>
                <w:szCs w:val="24"/>
              </w:rPr>
              <w:t>1</w:t>
            </w:r>
          </w:p>
        </w:tc>
        <w:tc>
          <w:tcPr>
            <w:tcW w:w="0" w:type="auto"/>
            <w:vAlign w:val="center"/>
            <w:hideMark/>
          </w:tcPr>
          <w:p w14:paraId="32480498" w14:textId="77777777" w:rsidR="00A367C6" w:rsidRPr="00863F2C" w:rsidRDefault="00A367C6" w:rsidP="00A367C6">
            <w:pPr>
              <w:rPr>
                <w:rFonts w:asciiTheme="minorHAnsi" w:hAnsiTheme="minorHAnsi"/>
                <w:sz w:val="24"/>
                <w:szCs w:val="24"/>
              </w:rPr>
            </w:pPr>
            <w:r w:rsidRPr="00863F2C">
              <w:rPr>
                <w:rFonts w:asciiTheme="minorHAnsi" w:hAnsiTheme="minorHAnsi"/>
                <w:b/>
                <w:bCs/>
                <w:sz w:val="24"/>
                <w:szCs w:val="24"/>
              </w:rPr>
              <w:t>Understanding of TOR and CARE’s MEAL needs</w:t>
            </w:r>
          </w:p>
        </w:tc>
        <w:tc>
          <w:tcPr>
            <w:tcW w:w="6603" w:type="dxa"/>
            <w:vAlign w:val="center"/>
            <w:hideMark/>
          </w:tcPr>
          <w:p w14:paraId="6026CBFC" w14:textId="70F1FBC8" w:rsidR="00A367C6" w:rsidRPr="00863F2C" w:rsidRDefault="00A367C6" w:rsidP="00A367C6">
            <w:pPr>
              <w:rPr>
                <w:rFonts w:asciiTheme="minorHAnsi" w:hAnsiTheme="minorHAnsi"/>
                <w:sz w:val="24"/>
                <w:szCs w:val="24"/>
              </w:rPr>
            </w:pPr>
            <w:r>
              <w:rPr>
                <w:rFonts w:asciiTheme="minorHAnsi" w:hAnsiTheme="minorHAnsi"/>
                <w:sz w:val="24"/>
                <w:szCs w:val="24"/>
              </w:rPr>
              <w:t>P</w:t>
            </w:r>
            <w:r w:rsidRPr="00863F2C">
              <w:rPr>
                <w:rFonts w:asciiTheme="minorHAnsi" w:hAnsiTheme="minorHAnsi"/>
                <w:sz w:val="24"/>
                <w:szCs w:val="24"/>
              </w:rPr>
              <w:t xml:space="preserve">rofile shows clear understanding of CARE’s MEAL needs, types of assignments under the framework agreement, and expected deliverables. </w:t>
            </w:r>
          </w:p>
          <w:p w14:paraId="4B6C6E85" w14:textId="77777777" w:rsidR="00A367C6" w:rsidRPr="00863F2C" w:rsidRDefault="00A367C6" w:rsidP="00A367C6">
            <w:pPr>
              <w:rPr>
                <w:rFonts w:asciiTheme="minorHAnsi" w:hAnsiTheme="minorHAnsi"/>
                <w:sz w:val="24"/>
                <w:szCs w:val="24"/>
              </w:rPr>
            </w:pPr>
            <w:r w:rsidRPr="00863F2C">
              <w:rPr>
                <w:rFonts w:asciiTheme="minorHAnsi" w:hAnsiTheme="minorHAnsi"/>
                <w:sz w:val="24"/>
                <w:szCs w:val="24"/>
              </w:rPr>
              <w:t xml:space="preserve">Strong candidates should demonstrate understanding of evidence generation, accountability, adaptive learning, gender equality, inclusion, safeguarding, and use of MEAL findings for decision-making. </w:t>
            </w:r>
          </w:p>
          <w:p w14:paraId="19D8B458" w14:textId="77777777" w:rsidR="00A367C6" w:rsidRPr="00863F2C" w:rsidRDefault="00A367C6" w:rsidP="00A367C6">
            <w:pPr>
              <w:rPr>
                <w:rFonts w:asciiTheme="minorHAnsi" w:hAnsiTheme="minorHAnsi"/>
                <w:sz w:val="24"/>
                <w:szCs w:val="24"/>
              </w:rPr>
            </w:pPr>
            <w:r w:rsidRPr="00863F2C">
              <w:rPr>
                <w:rFonts w:asciiTheme="minorHAnsi" w:hAnsiTheme="minorHAnsi"/>
                <w:sz w:val="24"/>
                <w:szCs w:val="24"/>
              </w:rPr>
              <w:t>Higher score if the applicant does not only copy the TOR but explains how they can support CARE across different MEAL tasks.</w:t>
            </w:r>
          </w:p>
        </w:tc>
        <w:tc>
          <w:tcPr>
            <w:tcW w:w="1701" w:type="dxa"/>
            <w:vAlign w:val="center"/>
          </w:tcPr>
          <w:p w14:paraId="2F5E041D" w14:textId="3F0B3941" w:rsidR="00A367C6" w:rsidRDefault="00A367C6" w:rsidP="00A367C6">
            <w:pPr>
              <w:rPr>
                <w:rFonts w:asciiTheme="minorHAnsi" w:hAnsiTheme="minorHAnsi"/>
                <w:sz w:val="24"/>
                <w:szCs w:val="24"/>
              </w:rPr>
            </w:pPr>
            <w:r w:rsidRPr="00863F2C">
              <w:rPr>
                <w:rFonts w:asciiTheme="minorHAnsi" w:hAnsiTheme="minorHAnsi"/>
                <w:sz w:val="24"/>
                <w:szCs w:val="24"/>
              </w:rPr>
              <w:t>10</w:t>
            </w:r>
          </w:p>
        </w:tc>
      </w:tr>
      <w:tr w:rsidR="00A367C6" w:rsidRPr="00851A08" w14:paraId="6E60A1C2" w14:textId="0E6FD7D0" w:rsidTr="00A367C6">
        <w:tc>
          <w:tcPr>
            <w:tcW w:w="710" w:type="dxa"/>
            <w:vAlign w:val="center"/>
            <w:hideMark/>
          </w:tcPr>
          <w:p w14:paraId="5F35329A" w14:textId="77777777" w:rsidR="00A367C6" w:rsidRPr="00863F2C" w:rsidRDefault="00A367C6" w:rsidP="00A367C6">
            <w:pPr>
              <w:rPr>
                <w:rFonts w:asciiTheme="minorHAnsi" w:hAnsiTheme="minorHAnsi"/>
                <w:sz w:val="24"/>
                <w:szCs w:val="24"/>
              </w:rPr>
            </w:pPr>
            <w:r w:rsidRPr="00863F2C">
              <w:rPr>
                <w:rFonts w:asciiTheme="minorHAnsi" w:hAnsiTheme="minorHAnsi"/>
                <w:sz w:val="24"/>
                <w:szCs w:val="24"/>
              </w:rPr>
              <w:t>2</w:t>
            </w:r>
          </w:p>
        </w:tc>
        <w:tc>
          <w:tcPr>
            <w:tcW w:w="0" w:type="auto"/>
            <w:vAlign w:val="center"/>
            <w:hideMark/>
          </w:tcPr>
          <w:p w14:paraId="16E327D2" w14:textId="77777777" w:rsidR="00A367C6" w:rsidRPr="00863F2C" w:rsidRDefault="00A367C6" w:rsidP="00A367C6">
            <w:pPr>
              <w:rPr>
                <w:rFonts w:asciiTheme="minorHAnsi" w:hAnsiTheme="minorHAnsi"/>
                <w:sz w:val="24"/>
                <w:szCs w:val="24"/>
              </w:rPr>
            </w:pPr>
            <w:r w:rsidRPr="00863F2C">
              <w:rPr>
                <w:rFonts w:asciiTheme="minorHAnsi" w:hAnsiTheme="minorHAnsi"/>
                <w:b/>
                <w:bCs/>
                <w:sz w:val="24"/>
                <w:szCs w:val="24"/>
              </w:rPr>
              <w:t>Relevant MEAL assignments experience and track record</w:t>
            </w:r>
          </w:p>
        </w:tc>
        <w:tc>
          <w:tcPr>
            <w:tcW w:w="6603" w:type="dxa"/>
            <w:vAlign w:val="center"/>
            <w:hideMark/>
          </w:tcPr>
          <w:p w14:paraId="5185234B" w14:textId="3B29A2EF" w:rsidR="00A367C6" w:rsidRPr="00863F2C" w:rsidRDefault="00A367C6" w:rsidP="00A367C6">
            <w:pPr>
              <w:rPr>
                <w:rFonts w:asciiTheme="minorHAnsi" w:hAnsiTheme="minorHAnsi"/>
                <w:sz w:val="24"/>
                <w:szCs w:val="24"/>
              </w:rPr>
            </w:pPr>
            <w:r w:rsidRPr="00863F2C">
              <w:rPr>
                <w:rFonts w:asciiTheme="minorHAnsi" w:hAnsiTheme="minorHAnsi"/>
                <w:sz w:val="24"/>
                <w:szCs w:val="24"/>
              </w:rPr>
              <w:t xml:space="preserve">Applicants demonstrate relevant experience in baseline studies, mid-term reviews, final evaluations, outcome/impact assessments, learning reviews, monitoring system design, data analysis. </w:t>
            </w:r>
          </w:p>
          <w:p w14:paraId="7BA7C5EA" w14:textId="77777777" w:rsidR="00A367C6" w:rsidRPr="00863F2C" w:rsidRDefault="00A367C6" w:rsidP="00A367C6">
            <w:pPr>
              <w:rPr>
                <w:rFonts w:asciiTheme="minorHAnsi" w:hAnsiTheme="minorHAnsi"/>
                <w:sz w:val="24"/>
                <w:szCs w:val="24"/>
              </w:rPr>
            </w:pPr>
            <w:r w:rsidRPr="00863F2C">
              <w:rPr>
                <w:rFonts w:asciiTheme="minorHAnsi" w:hAnsiTheme="minorHAnsi"/>
                <w:sz w:val="24"/>
                <w:szCs w:val="24"/>
              </w:rPr>
              <w:t>Evidence should come from CVs, firm profile, list of assignments, references, and work samples.</w:t>
            </w:r>
          </w:p>
        </w:tc>
        <w:tc>
          <w:tcPr>
            <w:tcW w:w="1701" w:type="dxa"/>
            <w:vAlign w:val="center"/>
          </w:tcPr>
          <w:p w14:paraId="6AA8C5F1" w14:textId="2CA03E11" w:rsidR="00A367C6" w:rsidRPr="00863F2C" w:rsidRDefault="00A367C6" w:rsidP="00A367C6">
            <w:pPr>
              <w:rPr>
                <w:rFonts w:asciiTheme="minorHAnsi" w:hAnsiTheme="minorHAnsi"/>
                <w:sz w:val="24"/>
                <w:szCs w:val="24"/>
              </w:rPr>
            </w:pPr>
            <w:r w:rsidRPr="00863F2C">
              <w:rPr>
                <w:rFonts w:asciiTheme="minorHAnsi" w:hAnsiTheme="minorHAnsi"/>
                <w:sz w:val="24"/>
                <w:szCs w:val="24"/>
              </w:rPr>
              <w:t>10</w:t>
            </w:r>
          </w:p>
        </w:tc>
      </w:tr>
      <w:tr w:rsidR="00A367C6" w:rsidRPr="00851A08" w14:paraId="522D5F21" w14:textId="38DF294E" w:rsidTr="00A367C6">
        <w:tc>
          <w:tcPr>
            <w:tcW w:w="710" w:type="dxa"/>
            <w:vAlign w:val="center"/>
            <w:hideMark/>
          </w:tcPr>
          <w:p w14:paraId="0C2A8425" w14:textId="77777777" w:rsidR="00A367C6" w:rsidRPr="00863F2C" w:rsidRDefault="00A367C6" w:rsidP="00A367C6">
            <w:pPr>
              <w:rPr>
                <w:rFonts w:ascii="Aptos" w:hAnsi="Aptos"/>
                <w:sz w:val="24"/>
                <w:szCs w:val="24"/>
              </w:rPr>
            </w:pPr>
            <w:r w:rsidRPr="00863F2C">
              <w:rPr>
                <w:rFonts w:ascii="Aptos" w:hAnsi="Aptos"/>
                <w:sz w:val="24"/>
                <w:szCs w:val="24"/>
              </w:rPr>
              <w:t>3</w:t>
            </w:r>
          </w:p>
        </w:tc>
        <w:tc>
          <w:tcPr>
            <w:tcW w:w="0" w:type="auto"/>
            <w:vAlign w:val="center"/>
            <w:hideMark/>
          </w:tcPr>
          <w:p w14:paraId="561C2BDF" w14:textId="77777777" w:rsidR="00A367C6" w:rsidRPr="00863F2C" w:rsidRDefault="00A367C6" w:rsidP="00A367C6">
            <w:pPr>
              <w:rPr>
                <w:rFonts w:ascii="Aptos" w:hAnsi="Aptos"/>
                <w:sz w:val="24"/>
                <w:szCs w:val="24"/>
              </w:rPr>
            </w:pPr>
            <w:r w:rsidRPr="00863F2C">
              <w:rPr>
                <w:rFonts w:ascii="Aptos" w:hAnsi="Aptos"/>
                <w:b/>
                <w:bCs/>
                <w:sz w:val="24"/>
                <w:szCs w:val="24"/>
              </w:rPr>
              <w:t>Technical methodology and analytical capacity</w:t>
            </w:r>
          </w:p>
        </w:tc>
        <w:tc>
          <w:tcPr>
            <w:tcW w:w="6603" w:type="dxa"/>
            <w:vAlign w:val="center"/>
            <w:hideMark/>
          </w:tcPr>
          <w:p w14:paraId="5A0A24A9" w14:textId="6312586B" w:rsidR="00A367C6" w:rsidRPr="004458E3" w:rsidRDefault="00A367C6" w:rsidP="00A367C6">
            <w:pPr>
              <w:rPr>
                <w:rFonts w:ascii="Aptos" w:hAnsi="Aptos"/>
                <w:sz w:val="24"/>
                <w:szCs w:val="24"/>
              </w:rPr>
            </w:pPr>
            <w:r w:rsidRPr="004458E3">
              <w:rPr>
                <w:rFonts w:ascii="Aptos" w:hAnsi="Aptos"/>
                <w:sz w:val="24"/>
                <w:szCs w:val="24"/>
              </w:rPr>
              <w:t xml:space="preserve">Applicants demonstrate strong capacity in evaluation design, sampling strategy, survey design, qualitative methods, participatory approaches, data triangulation and quantitative/qualitative analysis. Should show ability to </w:t>
            </w:r>
            <w:r w:rsidRPr="004458E3">
              <w:rPr>
                <w:rFonts w:ascii="Aptos" w:hAnsi="Aptos"/>
                <w:sz w:val="24"/>
                <w:szCs w:val="24"/>
              </w:rPr>
              <w:lastRenderedPageBreak/>
              <w:t>conduct gender/inclusion-disaggregated analysis and generate practical, evidence-based recommendations.</w:t>
            </w:r>
          </w:p>
        </w:tc>
        <w:tc>
          <w:tcPr>
            <w:tcW w:w="1701" w:type="dxa"/>
            <w:vAlign w:val="center"/>
          </w:tcPr>
          <w:p w14:paraId="0A3B1F96" w14:textId="1A79E8A5" w:rsidR="00A367C6" w:rsidRPr="004458E3" w:rsidRDefault="00A367C6" w:rsidP="00A367C6">
            <w:pPr>
              <w:rPr>
                <w:rFonts w:ascii="Aptos" w:hAnsi="Aptos"/>
                <w:sz w:val="24"/>
                <w:szCs w:val="24"/>
              </w:rPr>
            </w:pPr>
            <w:r w:rsidRPr="00863F2C">
              <w:rPr>
                <w:rFonts w:ascii="Aptos" w:hAnsi="Aptos"/>
                <w:sz w:val="24"/>
                <w:szCs w:val="24"/>
              </w:rPr>
              <w:lastRenderedPageBreak/>
              <w:t>10</w:t>
            </w:r>
          </w:p>
        </w:tc>
      </w:tr>
      <w:tr w:rsidR="00A367C6" w:rsidRPr="00851A08" w14:paraId="6F090E9F" w14:textId="6ED3401A" w:rsidTr="00A367C6">
        <w:tc>
          <w:tcPr>
            <w:tcW w:w="710" w:type="dxa"/>
            <w:vAlign w:val="center"/>
            <w:hideMark/>
          </w:tcPr>
          <w:p w14:paraId="31A758DE" w14:textId="77777777" w:rsidR="00A367C6" w:rsidRPr="00863F2C" w:rsidRDefault="00A367C6" w:rsidP="00A367C6">
            <w:pPr>
              <w:rPr>
                <w:rFonts w:ascii="Aptos" w:hAnsi="Aptos"/>
                <w:sz w:val="24"/>
                <w:szCs w:val="24"/>
              </w:rPr>
            </w:pPr>
            <w:r w:rsidRPr="00863F2C">
              <w:rPr>
                <w:rFonts w:ascii="Aptos" w:hAnsi="Aptos"/>
                <w:sz w:val="24"/>
                <w:szCs w:val="24"/>
              </w:rPr>
              <w:t>4</w:t>
            </w:r>
          </w:p>
        </w:tc>
        <w:tc>
          <w:tcPr>
            <w:tcW w:w="0" w:type="auto"/>
            <w:vAlign w:val="center"/>
            <w:hideMark/>
          </w:tcPr>
          <w:p w14:paraId="7C091B5B" w14:textId="77777777" w:rsidR="00A367C6" w:rsidRPr="00863F2C" w:rsidRDefault="00A367C6" w:rsidP="00A367C6">
            <w:pPr>
              <w:rPr>
                <w:rFonts w:ascii="Aptos" w:hAnsi="Aptos"/>
                <w:sz w:val="24"/>
                <w:szCs w:val="24"/>
              </w:rPr>
            </w:pPr>
            <w:r w:rsidRPr="00863F2C">
              <w:rPr>
                <w:rFonts w:ascii="Aptos" w:hAnsi="Aptos"/>
                <w:b/>
                <w:bCs/>
                <w:sz w:val="24"/>
                <w:szCs w:val="24"/>
              </w:rPr>
              <w:t>Quality assurance, ethics and data management</w:t>
            </w:r>
          </w:p>
        </w:tc>
        <w:tc>
          <w:tcPr>
            <w:tcW w:w="6603" w:type="dxa"/>
            <w:vAlign w:val="center"/>
            <w:hideMark/>
          </w:tcPr>
          <w:p w14:paraId="26B560FD" w14:textId="1AAEEF6A" w:rsidR="00A367C6" w:rsidRPr="004458E3" w:rsidRDefault="00A367C6" w:rsidP="00A367C6">
            <w:pPr>
              <w:rPr>
                <w:rFonts w:ascii="Aptos" w:hAnsi="Aptos"/>
                <w:sz w:val="24"/>
                <w:szCs w:val="24"/>
              </w:rPr>
            </w:pPr>
            <w:r w:rsidRPr="004458E3">
              <w:rPr>
                <w:rFonts w:ascii="Aptos" w:hAnsi="Aptos"/>
                <w:sz w:val="24"/>
                <w:szCs w:val="24"/>
              </w:rPr>
              <w:t xml:space="preserve">Applicants provide experiences on a clear process and plan for ensuring data quality and ethical research. This may include tool testing, enumerator training, field supervision, daily data checks, data cleaning, validation, informed consent, confidentiality, safeguarding, do-no-harm, privacy, sensitive data control,  anonymization, secure data storage and controlled data access. </w:t>
            </w:r>
          </w:p>
          <w:p w14:paraId="17569118" w14:textId="77777777" w:rsidR="00A367C6" w:rsidRPr="004458E3" w:rsidRDefault="00A367C6" w:rsidP="00A367C6">
            <w:pPr>
              <w:rPr>
                <w:rFonts w:ascii="Aptos" w:hAnsi="Aptos"/>
                <w:sz w:val="24"/>
                <w:szCs w:val="24"/>
              </w:rPr>
            </w:pPr>
            <w:r w:rsidRPr="004458E3">
              <w:rPr>
                <w:rFonts w:ascii="Aptos" w:hAnsi="Aptos"/>
                <w:sz w:val="24"/>
                <w:szCs w:val="24"/>
              </w:rPr>
              <w:t>Strong score if quality assurance applies to both quantitative and qualitative data and for diversity of data collection methods</w:t>
            </w:r>
          </w:p>
        </w:tc>
        <w:tc>
          <w:tcPr>
            <w:tcW w:w="1701" w:type="dxa"/>
            <w:vAlign w:val="center"/>
          </w:tcPr>
          <w:p w14:paraId="0DD8238C" w14:textId="51DECCF2" w:rsidR="00A367C6" w:rsidRPr="004458E3" w:rsidRDefault="00A367C6" w:rsidP="00A367C6">
            <w:pPr>
              <w:rPr>
                <w:rFonts w:ascii="Aptos" w:hAnsi="Aptos"/>
                <w:sz w:val="24"/>
                <w:szCs w:val="24"/>
              </w:rPr>
            </w:pPr>
            <w:r w:rsidRPr="00863F2C">
              <w:rPr>
                <w:rFonts w:ascii="Aptos" w:hAnsi="Aptos"/>
                <w:sz w:val="24"/>
                <w:szCs w:val="24"/>
              </w:rPr>
              <w:t>10</w:t>
            </w:r>
          </w:p>
        </w:tc>
      </w:tr>
      <w:tr w:rsidR="00A367C6" w:rsidRPr="00851A08" w14:paraId="1E578A2D" w14:textId="3A53FCAF" w:rsidTr="00A367C6">
        <w:tc>
          <w:tcPr>
            <w:tcW w:w="710" w:type="dxa"/>
            <w:vAlign w:val="center"/>
            <w:hideMark/>
          </w:tcPr>
          <w:p w14:paraId="4982DFD9" w14:textId="77777777" w:rsidR="00A367C6" w:rsidRPr="00863F2C" w:rsidRDefault="00A367C6" w:rsidP="00A367C6">
            <w:pPr>
              <w:rPr>
                <w:rFonts w:ascii="Aptos" w:hAnsi="Aptos"/>
                <w:sz w:val="24"/>
                <w:szCs w:val="24"/>
              </w:rPr>
            </w:pPr>
            <w:r w:rsidRPr="00863F2C">
              <w:rPr>
                <w:rFonts w:ascii="Aptos" w:hAnsi="Aptos"/>
                <w:sz w:val="24"/>
                <w:szCs w:val="24"/>
              </w:rPr>
              <w:t>5</w:t>
            </w:r>
          </w:p>
        </w:tc>
        <w:tc>
          <w:tcPr>
            <w:tcW w:w="0" w:type="auto"/>
            <w:vAlign w:val="center"/>
            <w:hideMark/>
          </w:tcPr>
          <w:p w14:paraId="3CD26BDD" w14:textId="77777777" w:rsidR="00A367C6" w:rsidRPr="00863F2C" w:rsidRDefault="00A367C6" w:rsidP="00A367C6">
            <w:pPr>
              <w:rPr>
                <w:rFonts w:ascii="Aptos" w:hAnsi="Aptos"/>
                <w:sz w:val="24"/>
                <w:szCs w:val="24"/>
              </w:rPr>
            </w:pPr>
            <w:r w:rsidRPr="00863F2C">
              <w:rPr>
                <w:rFonts w:ascii="Aptos" w:hAnsi="Aptos"/>
                <w:b/>
                <w:bCs/>
                <w:sz w:val="24"/>
                <w:szCs w:val="24"/>
              </w:rPr>
              <w:t>Team / consultant capacity and role arrangement</w:t>
            </w:r>
          </w:p>
        </w:tc>
        <w:tc>
          <w:tcPr>
            <w:tcW w:w="6603" w:type="dxa"/>
            <w:vAlign w:val="center"/>
            <w:hideMark/>
          </w:tcPr>
          <w:p w14:paraId="39DB7A0D" w14:textId="77777777" w:rsidR="00A367C6" w:rsidRPr="004458E3" w:rsidRDefault="00A367C6" w:rsidP="00A367C6">
            <w:pPr>
              <w:rPr>
                <w:rFonts w:ascii="Aptos" w:hAnsi="Aptos"/>
                <w:sz w:val="24"/>
                <w:szCs w:val="24"/>
              </w:rPr>
            </w:pPr>
            <w:r w:rsidRPr="004458E3">
              <w:rPr>
                <w:rFonts w:ascii="Aptos" w:hAnsi="Aptos"/>
                <w:sz w:val="24"/>
                <w:szCs w:val="24"/>
              </w:rPr>
              <w:t xml:space="preserve">For firms, assess whether the proposed team has clear structure, relevant experts, defined roles and realistic level of effort. Strong teams should include, where relevant, MEAL lead, quantitative expert, qualitative expert, data analyst, field coordinator and GESI/safeguarding capacity. </w:t>
            </w:r>
          </w:p>
          <w:p w14:paraId="33E61F9D" w14:textId="77777777" w:rsidR="00A367C6" w:rsidRPr="004458E3" w:rsidRDefault="00A367C6" w:rsidP="00A367C6">
            <w:pPr>
              <w:rPr>
                <w:rFonts w:ascii="Aptos" w:hAnsi="Aptos"/>
                <w:sz w:val="24"/>
                <w:szCs w:val="24"/>
              </w:rPr>
            </w:pPr>
            <w:r w:rsidRPr="004458E3">
              <w:rPr>
                <w:rFonts w:ascii="Aptos" w:hAnsi="Aptos"/>
                <w:sz w:val="24"/>
                <w:szCs w:val="24"/>
              </w:rPr>
              <w:t xml:space="preserve">For individual consultants, assess whether the person can independently lead assignments and mobilize assistants/enumerators when needed. </w:t>
            </w:r>
          </w:p>
        </w:tc>
        <w:tc>
          <w:tcPr>
            <w:tcW w:w="1701" w:type="dxa"/>
            <w:vAlign w:val="center"/>
          </w:tcPr>
          <w:p w14:paraId="7E0E960A" w14:textId="6B6932EF" w:rsidR="00A367C6" w:rsidRPr="004458E3" w:rsidRDefault="00A367C6" w:rsidP="00A367C6">
            <w:pPr>
              <w:rPr>
                <w:rFonts w:ascii="Aptos" w:hAnsi="Aptos"/>
                <w:sz w:val="24"/>
                <w:szCs w:val="24"/>
              </w:rPr>
            </w:pPr>
            <w:r w:rsidRPr="00863F2C">
              <w:rPr>
                <w:rFonts w:ascii="Aptos" w:hAnsi="Aptos"/>
                <w:sz w:val="24"/>
                <w:szCs w:val="24"/>
              </w:rPr>
              <w:t>10</w:t>
            </w:r>
          </w:p>
        </w:tc>
      </w:tr>
      <w:tr w:rsidR="00A367C6" w:rsidRPr="00851A08" w14:paraId="12138679" w14:textId="336FB807" w:rsidTr="00A367C6">
        <w:tc>
          <w:tcPr>
            <w:tcW w:w="710" w:type="dxa"/>
            <w:vAlign w:val="center"/>
            <w:hideMark/>
          </w:tcPr>
          <w:p w14:paraId="1F5CA668" w14:textId="77777777" w:rsidR="00A367C6" w:rsidRPr="00863F2C" w:rsidRDefault="00A367C6" w:rsidP="00A367C6">
            <w:pPr>
              <w:rPr>
                <w:rFonts w:ascii="Aptos" w:hAnsi="Aptos"/>
                <w:sz w:val="24"/>
                <w:szCs w:val="24"/>
              </w:rPr>
            </w:pPr>
            <w:r w:rsidRPr="00863F2C">
              <w:rPr>
                <w:rFonts w:ascii="Aptos" w:hAnsi="Aptos"/>
                <w:sz w:val="24"/>
                <w:szCs w:val="24"/>
              </w:rPr>
              <w:t>6</w:t>
            </w:r>
          </w:p>
        </w:tc>
        <w:tc>
          <w:tcPr>
            <w:tcW w:w="0" w:type="auto"/>
            <w:vAlign w:val="center"/>
            <w:hideMark/>
          </w:tcPr>
          <w:p w14:paraId="4068B740" w14:textId="77777777" w:rsidR="00A367C6" w:rsidRPr="00863F2C" w:rsidRDefault="00A367C6" w:rsidP="00A367C6">
            <w:pPr>
              <w:rPr>
                <w:rFonts w:ascii="Aptos" w:hAnsi="Aptos"/>
                <w:sz w:val="24"/>
                <w:szCs w:val="24"/>
              </w:rPr>
            </w:pPr>
            <w:r w:rsidRPr="00863F2C">
              <w:rPr>
                <w:rFonts w:ascii="Aptos" w:hAnsi="Aptos"/>
                <w:b/>
                <w:bCs/>
                <w:sz w:val="24"/>
                <w:szCs w:val="24"/>
              </w:rPr>
              <w:t>Digital MEAL and data systems capacity</w:t>
            </w:r>
          </w:p>
        </w:tc>
        <w:tc>
          <w:tcPr>
            <w:tcW w:w="6603" w:type="dxa"/>
            <w:vAlign w:val="center"/>
            <w:hideMark/>
          </w:tcPr>
          <w:p w14:paraId="334FA902" w14:textId="4A83FA8C" w:rsidR="00A367C6" w:rsidRPr="004458E3" w:rsidRDefault="00A367C6" w:rsidP="00A367C6">
            <w:pPr>
              <w:rPr>
                <w:rFonts w:ascii="Aptos" w:hAnsi="Aptos"/>
                <w:sz w:val="24"/>
                <w:szCs w:val="24"/>
              </w:rPr>
            </w:pPr>
            <w:r w:rsidRPr="004458E3">
              <w:rPr>
                <w:rFonts w:ascii="Aptos" w:hAnsi="Aptos"/>
                <w:sz w:val="24"/>
                <w:szCs w:val="24"/>
              </w:rPr>
              <w:t xml:space="preserve">Applicants demonstrate practical experience using digital data collection, management, analysis and visualization tools. Examples include Kobo, ODK, CommCare, Excel, SPSS, Stata, R, Power BI, NVivo, ATLAS.ti, GIS or similar tools. </w:t>
            </w:r>
          </w:p>
        </w:tc>
        <w:tc>
          <w:tcPr>
            <w:tcW w:w="1701" w:type="dxa"/>
            <w:vAlign w:val="center"/>
          </w:tcPr>
          <w:p w14:paraId="6B0438D3" w14:textId="3DD3DE8E" w:rsidR="00A367C6" w:rsidRPr="004458E3" w:rsidRDefault="00A367C6" w:rsidP="00A367C6">
            <w:pPr>
              <w:rPr>
                <w:rFonts w:ascii="Aptos" w:hAnsi="Aptos"/>
                <w:sz w:val="24"/>
                <w:szCs w:val="24"/>
              </w:rPr>
            </w:pPr>
            <w:r w:rsidRPr="00863F2C">
              <w:rPr>
                <w:rFonts w:ascii="Aptos" w:hAnsi="Aptos"/>
                <w:sz w:val="24"/>
                <w:szCs w:val="24"/>
              </w:rPr>
              <w:t>10</w:t>
            </w:r>
          </w:p>
        </w:tc>
      </w:tr>
      <w:tr w:rsidR="00A367C6" w:rsidRPr="00851A08" w14:paraId="6656E09A" w14:textId="44B8367B" w:rsidTr="00A367C6">
        <w:tc>
          <w:tcPr>
            <w:tcW w:w="710" w:type="dxa"/>
          </w:tcPr>
          <w:p w14:paraId="121A9425" w14:textId="77777777" w:rsidR="00A367C6" w:rsidRPr="00863F2C" w:rsidRDefault="00A367C6" w:rsidP="00A367C6">
            <w:pPr>
              <w:rPr>
                <w:rFonts w:ascii="Aptos" w:hAnsi="Aptos"/>
                <w:sz w:val="24"/>
                <w:szCs w:val="24"/>
              </w:rPr>
            </w:pPr>
            <w:r w:rsidRPr="00863F2C">
              <w:rPr>
                <w:rFonts w:ascii="Aptos" w:hAnsi="Aptos"/>
                <w:sz w:val="24"/>
                <w:szCs w:val="24"/>
              </w:rPr>
              <w:t>7</w:t>
            </w:r>
          </w:p>
        </w:tc>
        <w:tc>
          <w:tcPr>
            <w:tcW w:w="0" w:type="auto"/>
          </w:tcPr>
          <w:p w14:paraId="20B20E29" w14:textId="77777777" w:rsidR="00A367C6" w:rsidRPr="00863F2C" w:rsidRDefault="00A367C6" w:rsidP="00A367C6">
            <w:pPr>
              <w:rPr>
                <w:rFonts w:ascii="Aptos" w:hAnsi="Aptos"/>
                <w:b/>
                <w:bCs/>
                <w:sz w:val="24"/>
                <w:szCs w:val="24"/>
              </w:rPr>
            </w:pPr>
            <w:r w:rsidRPr="00863F2C">
              <w:rPr>
                <w:rFonts w:ascii="Aptos" w:hAnsi="Aptos"/>
                <w:b/>
                <w:bCs/>
                <w:sz w:val="24"/>
                <w:szCs w:val="24"/>
              </w:rPr>
              <w:t>Sector and target-group experience</w:t>
            </w:r>
          </w:p>
        </w:tc>
        <w:tc>
          <w:tcPr>
            <w:tcW w:w="6603" w:type="dxa"/>
          </w:tcPr>
          <w:p w14:paraId="4F5761FC" w14:textId="74DB5E85" w:rsidR="00A367C6" w:rsidRPr="004458E3" w:rsidRDefault="00A367C6" w:rsidP="00A367C6">
            <w:pPr>
              <w:rPr>
                <w:rFonts w:ascii="Aptos" w:hAnsi="Aptos"/>
                <w:sz w:val="24"/>
                <w:szCs w:val="24"/>
              </w:rPr>
            </w:pPr>
            <w:r w:rsidRPr="004458E3">
              <w:rPr>
                <w:rFonts w:ascii="Aptos" w:hAnsi="Aptos"/>
                <w:sz w:val="24"/>
                <w:szCs w:val="24"/>
              </w:rPr>
              <w:t xml:space="preserve">Applicants demonstrate experience in CARE-relevant sectors and with CARE priority groups. This may include gender equality, women’s economic empowerment, climate resilience, inclusive governance, humanitarian response, market systems, workers, smallholder farmers, MSMEs, ethnic minorities, youth, vulnerable groups or climate-affected communities. </w:t>
            </w:r>
          </w:p>
        </w:tc>
        <w:tc>
          <w:tcPr>
            <w:tcW w:w="1701" w:type="dxa"/>
          </w:tcPr>
          <w:p w14:paraId="179412FA" w14:textId="040DBE70" w:rsidR="00A367C6" w:rsidRPr="004458E3" w:rsidRDefault="00A367C6" w:rsidP="00A367C6">
            <w:pPr>
              <w:rPr>
                <w:rFonts w:ascii="Aptos" w:hAnsi="Aptos"/>
                <w:sz w:val="24"/>
                <w:szCs w:val="24"/>
              </w:rPr>
            </w:pPr>
            <w:r w:rsidRPr="00863F2C">
              <w:rPr>
                <w:rFonts w:ascii="Aptos" w:hAnsi="Aptos"/>
                <w:sz w:val="24"/>
                <w:szCs w:val="24"/>
              </w:rPr>
              <w:t>10</w:t>
            </w:r>
          </w:p>
        </w:tc>
      </w:tr>
      <w:tr w:rsidR="00A367C6" w:rsidRPr="00851A08" w14:paraId="6B2E829F" w14:textId="158D07CC" w:rsidTr="00A367C6">
        <w:tc>
          <w:tcPr>
            <w:tcW w:w="710" w:type="dxa"/>
          </w:tcPr>
          <w:p w14:paraId="2DF36EE7" w14:textId="77777777" w:rsidR="00A367C6" w:rsidRPr="00863F2C" w:rsidRDefault="00A367C6" w:rsidP="00A367C6">
            <w:pPr>
              <w:rPr>
                <w:rFonts w:ascii="Aptos" w:hAnsi="Aptos"/>
                <w:sz w:val="24"/>
                <w:szCs w:val="24"/>
              </w:rPr>
            </w:pPr>
            <w:r w:rsidRPr="00863F2C">
              <w:rPr>
                <w:rFonts w:ascii="Aptos" w:hAnsi="Aptos"/>
                <w:sz w:val="24"/>
                <w:szCs w:val="24"/>
              </w:rPr>
              <w:t>8</w:t>
            </w:r>
          </w:p>
        </w:tc>
        <w:tc>
          <w:tcPr>
            <w:tcW w:w="0" w:type="auto"/>
          </w:tcPr>
          <w:p w14:paraId="6EF27087" w14:textId="77777777" w:rsidR="00A367C6" w:rsidRPr="00863F2C" w:rsidRDefault="00A367C6" w:rsidP="00A367C6">
            <w:pPr>
              <w:rPr>
                <w:rFonts w:ascii="Aptos" w:hAnsi="Aptos"/>
                <w:b/>
                <w:bCs/>
                <w:sz w:val="24"/>
                <w:szCs w:val="24"/>
              </w:rPr>
            </w:pPr>
            <w:r w:rsidRPr="00863F2C">
              <w:rPr>
                <w:rFonts w:ascii="Aptos" w:hAnsi="Aptos"/>
                <w:b/>
                <w:bCs/>
                <w:sz w:val="24"/>
                <w:szCs w:val="24"/>
              </w:rPr>
              <w:t>Reporting, facilitation and communication</w:t>
            </w:r>
          </w:p>
        </w:tc>
        <w:tc>
          <w:tcPr>
            <w:tcW w:w="6603" w:type="dxa"/>
          </w:tcPr>
          <w:p w14:paraId="0B20423A" w14:textId="77777777" w:rsidR="00A367C6" w:rsidRPr="004458E3" w:rsidRDefault="00A367C6" w:rsidP="00A367C6">
            <w:pPr>
              <w:rPr>
                <w:rFonts w:ascii="Aptos" w:hAnsi="Aptos"/>
                <w:sz w:val="24"/>
                <w:szCs w:val="24"/>
              </w:rPr>
            </w:pPr>
            <w:r w:rsidRPr="004458E3">
              <w:rPr>
                <w:rFonts w:ascii="Aptos" w:hAnsi="Aptos"/>
                <w:sz w:val="24"/>
                <w:szCs w:val="24"/>
              </w:rPr>
              <w:t xml:space="preserve">Applicant demonstrates ability to produce high-quality reports, briefs, presentations, learning products and practical recommendations in English and/or Vietnamese as required. </w:t>
            </w:r>
          </w:p>
          <w:p w14:paraId="6F9967C2" w14:textId="52351DA3" w:rsidR="00A367C6" w:rsidRPr="004458E3" w:rsidRDefault="00A367C6" w:rsidP="00A367C6">
            <w:pPr>
              <w:rPr>
                <w:rFonts w:ascii="Aptos" w:hAnsi="Aptos"/>
                <w:sz w:val="24"/>
                <w:szCs w:val="24"/>
              </w:rPr>
            </w:pPr>
            <w:r w:rsidRPr="004458E3">
              <w:rPr>
                <w:rFonts w:ascii="Aptos" w:hAnsi="Aptos"/>
                <w:sz w:val="24"/>
                <w:szCs w:val="24"/>
              </w:rPr>
              <w:t>Applicants show experiences in facilitating validation workshops, reflection sessions, learning events, MEAL trainings stakeholders (partners, donors, government stakeholders and communities)</w:t>
            </w:r>
          </w:p>
        </w:tc>
        <w:tc>
          <w:tcPr>
            <w:tcW w:w="1701" w:type="dxa"/>
          </w:tcPr>
          <w:p w14:paraId="0768D773" w14:textId="1E4F81CA" w:rsidR="00A367C6" w:rsidRPr="004458E3" w:rsidRDefault="00A367C6" w:rsidP="00A367C6">
            <w:pPr>
              <w:rPr>
                <w:rFonts w:ascii="Aptos" w:hAnsi="Aptos"/>
                <w:sz w:val="24"/>
                <w:szCs w:val="24"/>
              </w:rPr>
            </w:pPr>
            <w:r w:rsidRPr="00863F2C">
              <w:rPr>
                <w:rFonts w:ascii="Aptos" w:hAnsi="Aptos"/>
                <w:sz w:val="24"/>
                <w:szCs w:val="24"/>
              </w:rPr>
              <w:t>10</w:t>
            </w:r>
          </w:p>
        </w:tc>
      </w:tr>
      <w:tr w:rsidR="00A367C6" w:rsidRPr="00851A08" w14:paraId="7886E860" w14:textId="3FA04DF1" w:rsidTr="00A367C6">
        <w:tc>
          <w:tcPr>
            <w:tcW w:w="710" w:type="dxa"/>
          </w:tcPr>
          <w:p w14:paraId="7256056B" w14:textId="77777777" w:rsidR="00A367C6" w:rsidRPr="00851A08" w:rsidRDefault="00A367C6" w:rsidP="00A367C6"/>
        </w:tc>
        <w:tc>
          <w:tcPr>
            <w:tcW w:w="0" w:type="auto"/>
          </w:tcPr>
          <w:p w14:paraId="691ADD38" w14:textId="77777777" w:rsidR="00A367C6" w:rsidRPr="007556A9" w:rsidRDefault="00A367C6" w:rsidP="00A367C6">
            <w:pPr>
              <w:rPr>
                <w:b/>
                <w:bCs/>
              </w:rPr>
            </w:pPr>
            <w:r w:rsidRPr="007556A9">
              <w:rPr>
                <w:b/>
                <w:bCs/>
              </w:rPr>
              <w:t>Total</w:t>
            </w:r>
          </w:p>
        </w:tc>
        <w:tc>
          <w:tcPr>
            <w:tcW w:w="6603" w:type="dxa"/>
          </w:tcPr>
          <w:p w14:paraId="59A70C12" w14:textId="77777777" w:rsidR="00A367C6" w:rsidRPr="00851A08" w:rsidRDefault="00A367C6" w:rsidP="00A367C6"/>
        </w:tc>
        <w:tc>
          <w:tcPr>
            <w:tcW w:w="1701" w:type="dxa"/>
          </w:tcPr>
          <w:p w14:paraId="25A9CFF6" w14:textId="6B32F793" w:rsidR="00A367C6" w:rsidRPr="00851A08" w:rsidRDefault="00A367C6" w:rsidP="00A367C6">
            <w:r w:rsidRPr="007556A9">
              <w:rPr>
                <w:b/>
                <w:bCs/>
              </w:rPr>
              <w:t>80</w:t>
            </w:r>
          </w:p>
        </w:tc>
      </w:tr>
    </w:tbl>
    <w:p w14:paraId="2183CCE9" w14:textId="77777777" w:rsidR="00863F2C" w:rsidRPr="00863F2C" w:rsidRDefault="00863F2C" w:rsidP="00863F2C">
      <w:pPr>
        <w:rPr>
          <w:rFonts w:asciiTheme="minorHAnsi" w:hAnsiTheme="minorHAnsi" w:cstheme="majorBidi"/>
          <w:b/>
          <w:bCs/>
          <w:sz w:val="24"/>
          <w:szCs w:val="24"/>
          <w:lang w:val="en-GB"/>
        </w:rPr>
      </w:pPr>
    </w:p>
    <w:p w14:paraId="30D1CC55" w14:textId="1C18699E"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3C11A3">
        <w:rPr>
          <w:rFonts w:asciiTheme="minorHAnsi" w:hAnsiTheme="minorHAnsi" w:cstheme="majorBidi"/>
          <w:b/>
          <w:bCs/>
          <w:sz w:val="24"/>
          <w:szCs w:val="24"/>
          <w:lang w:val="en-GB"/>
        </w:rPr>
        <w:t>60</w:t>
      </w:r>
      <w:r w:rsidRPr="00495748">
        <w:rPr>
          <w:rFonts w:asciiTheme="minorHAnsi" w:hAnsiTheme="minorHAnsi" w:cstheme="majorBidi"/>
          <w:b/>
          <w:bCs/>
          <w:sz w:val="24"/>
          <w:szCs w:val="24"/>
          <w:lang w:val="en-GB"/>
        </w:rPr>
        <w:t>/</w:t>
      </w:r>
      <w:r w:rsidR="003C11A3">
        <w:rPr>
          <w:rFonts w:asciiTheme="minorHAnsi" w:hAnsiTheme="minorHAnsi" w:cstheme="majorBidi"/>
          <w:b/>
          <w:bCs/>
          <w:sz w:val="24"/>
          <w:szCs w:val="24"/>
          <w:lang w:val="en-GB"/>
        </w:rPr>
        <w:t>8</w:t>
      </w:r>
      <w:r w:rsidRPr="00495748">
        <w:rPr>
          <w:rFonts w:asciiTheme="minorHAnsi" w:hAnsiTheme="minorHAnsi" w:cstheme="majorBidi"/>
          <w:b/>
          <w:bCs/>
          <w:sz w:val="24"/>
          <w:szCs w:val="24"/>
          <w:lang w:val="en-GB"/>
        </w:rPr>
        <w:t>0</w:t>
      </w:r>
    </w:p>
    <w:p w14:paraId="1F429EE7" w14:textId="77777777" w:rsidR="00A367C6" w:rsidRPr="00A367C6" w:rsidRDefault="00A367C6" w:rsidP="00A367C6">
      <w:pPr>
        <w:pStyle w:val="ListParagraph"/>
        <w:numPr>
          <w:ilvl w:val="0"/>
          <w:numId w:val="16"/>
        </w:numPr>
        <w:rPr>
          <w:rFonts w:asciiTheme="minorHAnsi" w:hAnsiTheme="minorHAnsi" w:cstheme="majorBidi"/>
          <w:sz w:val="24"/>
          <w:szCs w:val="24"/>
          <w:lang w:val="en-GB"/>
        </w:rPr>
      </w:pPr>
    </w:p>
    <w:p w14:paraId="2B1019E6" w14:textId="6E2FA964" w:rsidR="002547CD" w:rsidRPr="00A367C6" w:rsidRDefault="00A367C6" w:rsidP="00A367C6">
      <w:pPr>
        <w:ind w:left="360"/>
        <w:rPr>
          <w:rFonts w:asciiTheme="minorHAnsi" w:hAnsiTheme="minorHAnsi" w:cstheme="majorBidi"/>
          <w:b/>
          <w:bCs/>
          <w:sz w:val="24"/>
          <w:szCs w:val="24"/>
          <w:lang w:val="en-GB"/>
        </w:rPr>
      </w:pPr>
      <w:r w:rsidRPr="00A367C6">
        <w:rPr>
          <w:rFonts w:asciiTheme="minorHAnsi" w:hAnsiTheme="minorHAnsi" w:cstheme="majorBidi"/>
          <w:b/>
          <w:bCs/>
          <w:sz w:val="24"/>
          <w:szCs w:val="24"/>
          <w:lang w:val="en-GB"/>
        </w:rPr>
        <w:t xml:space="preserve">2. </w:t>
      </w:r>
      <w:r w:rsidR="002547CD" w:rsidRPr="00A367C6">
        <w:rPr>
          <w:rFonts w:asciiTheme="minorHAnsi" w:hAnsiTheme="minorHAnsi" w:cstheme="majorBidi"/>
          <w:b/>
          <w:bCs/>
          <w:sz w:val="24"/>
          <w:szCs w:val="24"/>
          <w:lang w:val="en-GB"/>
        </w:rPr>
        <w:t>Financial Evaluation (</w:t>
      </w:r>
      <w:r w:rsidR="00080915" w:rsidRPr="00A367C6">
        <w:rPr>
          <w:rFonts w:asciiTheme="minorHAnsi" w:hAnsiTheme="minorHAnsi" w:cstheme="majorBidi"/>
          <w:b/>
          <w:bCs/>
          <w:sz w:val="24"/>
          <w:szCs w:val="24"/>
          <w:lang w:val="en-GB"/>
        </w:rPr>
        <w:t>2</w:t>
      </w:r>
      <w:r w:rsidR="002547CD" w:rsidRPr="00A367C6">
        <w:rPr>
          <w:rFonts w:asciiTheme="minorHAnsi" w:hAnsiTheme="minorHAnsi" w:cstheme="majorBidi"/>
          <w:b/>
          <w:bCs/>
          <w:sz w:val="24"/>
          <w:szCs w:val="24"/>
          <w:lang w:val="en-GB"/>
        </w:rPr>
        <w:t>0 points)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
        <w:gridCol w:w="7379"/>
        <w:gridCol w:w="1701"/>
      </w:tblGrid>
      <w:tr w:rsidR="00CD406D" w:rsidRPr="00495748" w14:paraId="06A99D5E" w14:textId="77777777" w:rsidTr="004E180F">
        <w:trPr>
          <w:trHeight w:val="304"/>
          <w:tblCellSpacing w:w="15" w:type="dxa"/>
        </w:trPr>
        <w:tc>
          <w:tcPr>
            <w:tcW w:w="0" w:type="auto"/>
            <w:shd w:val="clear" w:color="auto" w:fill="83CAEB" w:themeFill="accent1" w:themeFillTint="66"/>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7349" w:type="dxa"/>
            <w:shd w:val="clear" w:color="auto" w:fill="83CAEB" w:themeFill="accent1" w:themeFillTint="66"/>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1656" w:type="dxa"/>
            <w:shd w:val="clear" w:color="auto" w:fill="83CAEB" w:themeFill="accent1" w:themeFillTint="66"/>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4E180F">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349" w:type="dxa"/>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1656" w:type="dxa"/>
            <w:vAlign w:val="center"/>
            <w:hideMark/>
          </w:tcPr>
          <w:p w14:paraId="55789A4B" w14:textId="5A5FDE99" w:rsidR="00CD406D" w:rsidRPr="00495748" w:rsidRDefault="003C11A3"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AF5A87">
              <w:rPr>
                <w:rFonts w:asciiTheme="minorHAnsi" w:hAnsiTheme="minorHAnsi" w:cstheme="majorBidi"/>
                <w:sz w:val="24"/>
                <w:szCs w:val="24"/>
                <w:lang w:val="en-GB"/>
              </w:rPr>
              <w:t>0</w:t>
            </w:r>
          </w:p>
        </w:tc>
      </w:tr>
      <w:tr w:rsidR="00CD406D" w:rsidRPr="00495748" w14:paraId="502AD9B6" w14:textId="77777777" w:rsidTr="004E180F">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349" w:type="dxa"/>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1656" w:type="dxa"/>
            <w:vAlign w:val="center"/>
            <w:hideMark/>
          </w:tcPr>
          <w:p w14:paraId="076F3402" w14:textId="784C9FC0" w:rsidR="00CD406D" w:rsidRPr="00495748" w:rsidRDefault="003C11A3" w:rsidP="00E0537F">
            <w:pPr>
              <w:rPr>
                <w:rFonts w:asciiTheme="minorHAnsi" w:hAnsiTheme="minorHAnsi" w:cstheme="majorBidi"/>
                <w:sz w:val="24"/>
                <w:szCs w:val="24"/>
                <w:lang w:val="en-GB"/>
              </w:rPr>
            </w:pPr>
            <w:r>
              <w:rPr>
                <w:rFonts w:asciiTheme="minorHAnsi" w:hAnsiTheme="minorHAnsi" w:cstheme="majorBidi"/>
                <w:sz w:val="24"/>
                <w:szCs w:val="24"/>
                <w:lang w:val="en-GB"/>
              </w:rPr>
              <w:t>5</w:t>
            </w:r>
          </w:p>
        </w:tc>
      </w:tr>
      <w:tr w:rsidR="00A5273C" w:rsidRPr="00495748" w14:paraId="7F827A39" w14:textId="77777777" w:rsidTr="004E180F">
        <w:trPr>
          <w:trHeight w:val="304"/>
          <w:tblCellSpacing w:w="15" w:type="dxa"/>
        </w:trPr>
        <w:tc>
          <w:tcPr>
            <w:tcW w:w="0" w:type="auto"/>
            <w:shd w:val="clear" w:color="auto" w:fill="F5F5F5"/>
            <w:vAlign w:val="center"/>
          </w:tcPr>
          <w:p w14:paraId="7E3D9EAA" w14:textId="4B97E29A" w:rsidR="00A5273C" w:rsidRPr="00495748" w:rsidRDefault="00A5273C" w:rsidP="00E0537F">
            <w:pPr>
              <w:rPr>
                <w:rFonts w:asciiTheme="minorHAnsi" w:hAnsiTheme="minorHAnsi" w:cstheme="majorBidi"/>
                <w:b/>
                <w:bCs/>
                <w:sz w:val="24"/>
                <w:szCs w:val="24"/>
                <w:lang w:val="en-GB"/>
              </w:rPr>
            </w:pPr>
            <w:r>
              <w:rPr>
                <w:rFonts w:asciiTheme="minorHAnsi" w:hAnsiTheme="minorHAnsi" w:cstheme="majorBidi"/>
                <w:b/>
                <w:bCs/>
                <w:sz w:val="24"/>
                <w:szCs w:val="24"/>
                <w:lang w:val="en-GB"/>
              </w:rPr>
              <w:t>3</w:t>
            </w:r>
          </w:p>
        </w:tc>
        <w:tc>
          <w:tcPr>
            <w:tcW w:w="7349" w:type="dxa"/>
            <w:vAlign w:val="center"/>
          </w:tcPr>
          <w:p w14:paraId="338948F9" w14:textId="77777777" w:rsidR="00A5273C" w:rsidRDefault="00A5273C" w:rsidP="00E0537F">
            <w:pPr>
              <w:rPr>
                <w:rFonts w:asciiTheme="minorHAnsi" w:hAnsiTheme="minorHAnsi" w:cstheme="majorBidi"/>
                <w:b/>
                <w:bCs/>
                <w:sz w:val="24"/>
                <w:szCs w:val="24"/>
                <w:lang w:val="en-GB"/>
              </w:rPr>
            </w:pPr>
            <w:r w:rsidRPr="005B2E78">
              <w:rPr>
                <w:rFonts w:asciiTheme="minorHAnsi" w:hAnsiTheme="minorHAnsi" w:cstheme="majorBidi"/>
                <w:b/>
                <w:bCs/>
                <w:sz w:val="24"/>
                <w:szCs w:val="24"/>
                <w:lang w:val="en-GB"/>
              </w:rPr>
              <w:t>Financial Stability</w:t>
            </w:r>
          </w:p>
          <w:p w14:paraId="681F5C76" w14:textId="3A0749B7" w:rsidR="00A5273C" w:rsidRDefault="00A5273C" w:rsidP="00A5273C">
            <w:pPr>
              <w:rPr>
                <w:rFonts w:asciiTheme="minorHAnsi" w:hAnsiTheme="minorHAnsi" w:cstheme="majorBidi"/>
                <w:sz w:val="24"/>
                <w:szCs w:val="24"/>
                <w:lang w:val="en-GB"/>
              </w:rPr>
            </w:pPr>
            <w:r>
              <w:rPr>
                <w:rFonts w:asciiTheme="minorHAnsi" w:hAnsiTheme="minorHAnsi" w:cstheme="majorBidi"/>
                <w:sz w:val="24"/>
                <w:szCs w:val="24"/>
                <w:lang w:val="en-GB"/>
              </w:rPr>
              <w:t xml:space="preserve">- </w:t>
            </w:r>
            <w:r w:rsidRPr="005B2E78">
              <w:rPr>
                <w:rFonts w:asciiTheme="minorHAnsi" w:hAnsiTheme="minorHAnsi" w:cstheme="majorBidi"/>
                <w:sz w:val="24"/>
                <w:szCs w:val="24"/>
                <w:lang w:val="en-GB"/>
              </w:rPr>
              <w:t xml:space="preserve">Based on financial statements (2 years) and tax invoices </w:t>
            </w:r>
            <w:r w:rsidR="00AF5A87">
              <w:rPr>
                <w:rFonts w:asciiTheme="minorHAnsi" w:hAnsiTheme="minorHAnsi" w:cstheme="majorBidi"/>
                <w:sz w:val="24"/>
                <w:szCs w:val="24"/>
                <w:lang w:val="en-GB"/>
              </w:rPr>
              <w:t xml:space="preserve"> </w:t>
            </w:r>
            <w:r w:rsidR="00AF5A87">
              <w:rPr>
                <w:rFonts w:asciiTheme="minorHAnsi" w:hAnsiTheme="minorHAnsi" w:cstheme="majorBidi"/>
                <w:sz w:val="24"/>
                <w:szCs w:val="24"/>
                <w:lang w:val="en-GB"/>
              </w:rPr>
              <w:br/>
              <w:t xml:space="preserve">  </w:t>
            </w:r>
            <w:r w:rsidRPr="005B2E78">
              <w:rPr>
                <w:rFonts w:asciiTheme="minorHAnsi" w:hAnsiTheme="minorHAnsi" w:cstheme="majorBidi"/>
                <w:sz w:val="24"/>
                <w:szCs w:val="24"/>
                <w:lang w:val="en-GB"/>
              </w:rPr>
              <w:t>(3 copies)</w:t>
            </w:r>
            <w:r>
              <w:rPr>
                <w:rFonts w:asciiTheme="minorHAnsi" w:hAnsiTheme="minorHAnsi" w:cstheme="majorBidi"/>
                <w:sz w:val="24"/>
                <w:szCs w:val="24"/>
                <w:lang w:val="en-GB"/>
              </w:rPr>
              <w:t xml:space="preserve"> – applicable with firm</w:t>
            </w:r>
          </w:p>
          <w:p w14:paraId="162B07F7" w14:textId="77777777" w:rsidR="00A5273C" w:rsidRPr="00097E45" w:rsidRDefault="00A5273C" w:rsidP="00A5273C">
            <w:pPr>
              <w:pStyle w:val="ListParagraph"/>
              <w:numPr>
                <w:ilvl w:val="0"/>
                <w:numId w:val="6"/>
              </w:numPr>
              <w:ind w:left="160" w:hanging="142"/>
              <w:rPr>
                <w:rFonts w:asciiTheme="minorHAnsi" w:hAnsiTheme="minorHAnsi" w:cstheme="majorBidi"/>
                <w:sz w:val="24"/>
                <w:szCs w:val="24"/>
                <w:lang w:val="en-GB"/>
              </w:rPr>
            </w:pPr>
            <w:r>
              <w:rPr>
                <w:rFonts w:asciiTheme="minorHAnsi" w:hAnsiTheme="minorHAnsi" w:cstheme="majorBidi"/>
                <w:sz w:val="24"/>
                <w:szCs w:val="24"/>
                <w:lang w:val="en-GB"/>
              </w:rPr>
              <w:t xml:space="preserve">List of </w:t>
            </w:r>
            <w:r w:rsidRPr="00655B39">
              <w:rPr>
                <w:rFonts w:asciiTheme="minorHAnsi" w:hAnsiTheme="minorHAnsi" w:cstheme="majorBidi"/>
                <w:sz w:val="24"/>
                <w:szCs w:val="24"/>
                <w:lang w:val="en-GB"/>
              </w:rPr>
              <w:t>assignments/Contract history – applicable with individual/consortium</w:t>
            </w:r>
          </w:p>
          <w:p w14:paraId="1CFCCD3B" w14:textId="25963085" w:rsidR="00A5273C" w:rsidRPr="00A5273C" w:rsidRDefault="00A5273C" w:rsidP="00A5273C">
            <w:pPr>
              <w:rPr>
                <w:rFonts w:asciiTheme="minorHAnsi" w:hAnsiTheme="minorHAnsi" w:cstheme="majorBidi"/>
                <w:b/>
                <w:bCs/>
                <w:sz w:val="24"/>
                <w:szCs w:val="24"/>
                <w:lang w:val="en-GB"/>
              </w:rPr>
            </w:pPr>
          </w:p>
        </w:tc>
        <w:tc>
          <w:tcPr>
            <w:tcW w:w="1656" w:type="dxa"/>
            <w:vAlign w:val="center"/>
          </w:tcPr>
          <w:p w14:paraId="295A1272" w14:textId="2AEB7DC2" w:rsidR="00A5273C" w:rsidRDefault="00AF5A87" w:rsidP="00E0537F">
            <w:pPr>
              <w:rPr>
                <w:rFonts w:asciiTheme="minorHAnsi" w:hAnsiTheme="minorHAnsi" w:cstheme="majorBidi"/>
                <w:sz w:val="24"/>
                <w:szCs w:val="24"/>
                <w:lang w:val="en-GB"/>
              </w:rPr>
            </w:pPr>
            <w:r>
              <w:rPr>
                <w:rFonts w:asciiTheme="minorHAnsi" w:hAnsiTheme="minorHAnsi" w:cstheme="majorBidi"/>
                <w:sz w:val="24"/>
                <w:szCs w:val="24"/>
                <w:lang w:val="en-GB"/>
              </w:rPr>
              <w:t>5</w:t>
            </w:r>
          </w:p>
        </w:tc>
      </w:tr>
    </w:tbl>
    <w:p w14:paraId="3156F273"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153FCFED"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587150">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44AE7E16"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BC2771">
        <w:rPr>
          <w:rFonts w:asciiTheme="minorHAnsi" w:hAnsiTheme="minorHAnsi"/>
          <w:sz w:val="24"/>
          <w:szCs w:val="24"/>
        </w:rPr>
        <w:t>2</w:t>
      </w:r>
      <w:r w:rsidRPr="00495748">
        <w:rPr>
          <w:rFonts w:asciiTheme="minorHAnsi" w:hAnsiTheme="minorHAnsi"/>
          <w:sz w:val="24"/>
          <w:szCs w:val="24"/>
        </w:rPr>
        <w:t xml:space="preserve"> June 2026</w:t>
      </w:r>
    </w:p>
    <w:p w14:paraId="101CB266" w14:textId="1589B355"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BC2771">
        <w:rPr>
          <w:rFonts w:asciiTheme="minorHAnsi" w:hAnsiTheme="minorHAnsi"/>
          <w:sz w:val="24"/>
          <w:szCs w:val="24"/>
        </w:rPr>
        <w:t>5</w:t>
      </w:r>
      <w:r w:rsidRPr="00495748">
        <w:rPr>
          <w:rFonts w:asciiTheme="minorHAnsi" w:hAnsiTheme="minorHAnsi"/>
          <w:sz w:val="24"/>
          <w:szCs w:val="24"/>
        </w:rPr>
        <w:t xml:space="preserve"> June 2026 </w:t>
      </w:r>
    </w:p>
    <w:p w14:paraId="37F49E5D" w14:textId="5B1F9A01"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BC2771">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C63BAB">
      <w:pPr>
        <w:pStyle w:val="ListParagraph"/>
        <w:numPr>
          <w:ilvl w:val="0"/>
          <w:numId w:val="7"/>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0BCEA2CA"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863F2C">
      <w:pgSz w:w="12240" w:h="15840" w:code="1"/>
      <w:pgMar w:top="2160" w:right="90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2A8A" w14:textId="77777777" w:rsidR="004D35EF" w:rsidRDefault="004D35EF">
      <w:r>
        <w:separator/>
      </w:r>
    </w:p>
  </w:endnote>
  <w:endnote w:type="continuationSeparator" w:id="0">
    <w:p w14:paraId="19E71560" w14:textId="77777777" w:rsidR="004D35EF" w:rsidRDefault="004D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628C" w14:textId="77777777" w:rsidR="004D35EF" w:rsidRDefault="004D35EF">
      <w:r>
        <w:separator/>
      </w:r>
    </w:p>
  </w:footnote>
  <w:footnote w:type="continuationSeparator" w:id="0">
    <w:p w14:paraId="75509383" w14:textId="77777777" w:rsidR="004D35EF" w:rsidRDefault="004D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3E5F80D" id="_x0000_i1025" style="width:0;height:1.5pt" o:hralign="center" o:bullet="t" o:hrstd="t" o:hr="t" fillcolor="#a0a0a0" stroked="f"/>
    </w:pict>
  </w:numPicBullet>
  <w:abstractNum w:abstractNumId="0" w15:restartNumberingAfterBreak="0">
    <w:nsid w:val="FFFFFF89"/>
    <w:multiLevelType w:val="singleLevel"/>
    <w:tmpl w:val="F9A6E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120914"/>
    <w:multiLevelType w:val="hybridMultilevel"/>
    <w:tmpl w:val="CD84C0D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B4C2D"/>
    <w:multiLevelType w:val="hybridMultilevel"/>
    <w:tmpl w:val="59D0136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383F7A3A"/>
    <w:multiLevelType w:val="hybridMultilevel"/>
    <w:tmpl w:val="CFA4678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E113F"/>
    <w:multiLevelType w:val="hybridMultilevel"/>
    <w:tmpl w:val="BD981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6D517989"/>
    <w:multiLevelType w:val="hybridMultilevel"/>
    <w:tmpl w:val="98C8B6E6"/>
    <w:lvl w:ilvl="0" w:tplc="4794470C">
      <w:start w:val="1"/>
      <w:numFmt w:val="bullet"/>
      <w:lvlText w:val=""/>
      <w:lvlPicBulletId w:val="0"/>
      <w:lvlJc w:val="left"/>
      <w:pPr>
        <w:tabs>
          <w:tab w:val="num" w:pos="720"/>
        </w:tabs>
        <w:ind w:left="720" w:hanging="360"/>
      </w:pPr>
      <w:rPr>
        <w:rFonts w:ascii="Symbol" w:hAnsi="Symbol" w:hint="default"/>
      </w:rPr>
    </w:lvl>
    <w:lvl w:ilvl="1" w:tplc="03A2DBF6" w:tentative="1">
      <w:start w:val="1"/>
      <w:numFmt w:val="bullet"/>
      <w:lvlText w:val=""/>
      <w:lvlJc w:val="left"/>
      <w:pPr>
        <w:tabs>
          <w:tab w:val="num" w:pos="1440"/>
        </w:tabs>
        <w:ind w:left="1440" w:hanging="360"/>
      </w:pPr>
      <w:rPr>
        <w:rFonts w:ascii="Symbol" w:hAnsi="Symbol" w:hint="default"/>
      </w:rPr>
    </w:lvl>
    <w:lvl w:ilvl="2" w:tplc="F446CC6C" w:tentative="1">
      <w:start w:val="1"/>
      <w:numFmt w:val="bullet"/>
      <w:lvlText w:val=""/>
      <w:lvlJc w:val="left"/>
      <w:pPr>
        <w:tabs>
          <w:tab w:val="num" w:pos="2160"/>
        </w:tabs>
        <w:ind w:left="2160" w:hanging="360"/>
      </w:pPr>
      <w:rPr>
        <w:rFonts w:ascii="Symbol" w:hAnsi="Symbol" w:hint="default"/>
      </w:rPr>
    </w:lvl>
    <w:lvl w:ilvl="3" w:tplc="D200C97C" w:tentative="1">
      <w:start w:val="1"/>
      <w:numFmt w:val="bullet"/>
      <w:lvlText w:val=""/>
      <w:lvlJc w:val="left"/>
      <w:pPr>
        <w:tabs>
          <w:tab w:val="num" w:pos="2880"/>
        </w:tabs>
        <w:ind w:left="2880" w:hanging="360"/>
      </w:pPr>
      <w:rPr>
        <w:rFonts w:ascii="Symbol" w:hAnsi="Symbol" w:hint="default"/>
      </w:rPr>
    </w:lvl>
    <w:lvl w:ilvl="4" w:tplc="21806BDC" w:tentative="1">
      <w:start w:val="1"/>
      <w:numFmt w:val="bullet"/>
      <w:lvlText w:val=""/>
      <w:lvlJc w:val="left"/>
      <w:pPr>
        <w:tabs>
          <w:tab w:val="num" w:pos="3600"/>
        </w:tabs>
        <w:ind w:left="3600" w:hanging="360"/>
      </w:pPr>
      <w:rPr>
        <w:rFonts w:ascii="Symbol" w:hAnsi="Symbol" w:hint="default"/>
      </w:rPr>
    </w:lvl>
    <w:lvl w:ilvl="5" w:tplc="7408FB60" w:tentative="1">
      <w:start w:val="1"/>
      <w:numFmt w:val="bullet"/>
      <w:lvlText w:val=""/>
      <w:lvlJc w:val="left"/>
      <w:pPr>
        <w:tabs>
          <w:tab w:val="num" w:pos="4320"/>
        </w:tabs>
        <w:ind w:left="4320" w:hanging="360"/>
      </w:pPr>
      <w:rPr>
        <w:rFonts w:ascii="Symbol" w:hAnsi="Symbol" w:hint="default"/>
      </w:rPr>
    </w:lvl>
    <w:lvl w:ilvl="6" w:tplc="31FCD750" w:tentative="1">
      <w:start w:val="1"/>
      <w:numFmt w:val="bullet"/>
      <w:lvlText w:val=""/>
      <w:lvlJc w:val="left"/>
      <w:pPr>
        <w:tabs>
          <w:tab w:val="num" w:pos="5040"/>
        </w:tabs>
        <w:ind w:left="5040" w:hanging="360"/>
      </w:pPr>
      <w:rPr>
        <w:rFonts w:ascii="Symbol" w:hAnsi="Symbol" w:hint="default"/>
      </w:rPr>
    </w:lvl>
    <w:lvl w:ilvl="7" w:tplc="BDFE530A" w:tentative="1">
      <w:start w:val="1"/>
      <w:numFmt w:val="bullet"/>
      <w:lvlText w:val=""/>
      <w:lvlJc w:val="left"/>
      <w:pPr>
        <w:tabs>
          <w:tab w:val="num" w:pos="5760"/>
        </w:tabs>
        <w:ind w:left="5760" w:hanging="360"/>
      </w:pPr>
      <w:rPr>
        <w:rFonts w:ascii="Symbol" w:hAnsi="Symbol" w:hint="default"/>
      </w:rPr>
    </w:lvl>
    <w:lvl w:ilvl="8" w:tplc="1DDCC0A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2305A12"/>
    <w:multiLevelType w:val="hybridMultilevel"/>
    <w:tmpl w:val="3F00461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86E6517"/>
    <w:multiLevelType w:val="hybridMultilevel"/>
    <w:tmpl w:val="C0F88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071999966">
    <w:abstractNumId w:val="10"/>
  </w:num>
  <w:num w:numId="2" w16cid:durableId="1841774567">
    <w:abstractNumId w:val="3"/>
  </w:num>
  <w:num w:numId="3" w16cid:durableId="1388187816">
    <w:abstractNumId w:val="12"/>
  </w:num>
  <w:num w:numId="4" w16cid:durableId="1168591944">
    <w:abstractNumId w:val="1"/>
  </w:num>
  <w:num w:numId="5" w16cid:durableId="1708487261">
    <w:abstractNumId w:val="6"/>
  </w:num>
  <w:num w:numId="6" w16cid:durableId="2044357720">
    <w:abstractNumId w:val="8"/>
  </w:num>
  <w:num w:numId="7" w16cid:durableId="785319130">
    <w:abstractNumId w:val="11"/>
  </w:num>
  <w:num w:numId="8" w16cid:durableId="1226840077">
    <w:abstractNumId w:val="7"/>
  </w:num>
  <w:num w:numId="9" w16cid:durableId="480582198">
    <w:abstractNumId w:val="5"/>
  </w:num>
  <w:num w:numId="10" w16cid:durableId="929922252">
    <w:abstractNumId w:val="14"/>
  </w:num>
  <w:num w:numId="11" w16cid:durableId="1376541015">
    <w:abstractNumId w:val="4"/>
  </w:num>
  <w:num w:numId="12" w16cid:durableId="1290477799">
    <w:abstractNumId w:val="15"/>
  </w:num>
  <w:num w:numId="13" w16cid:durableId="32392394">
    <w:abstractNumId w:val="2"/>
  </w:num>
  <w:num w:numId="14" w16cid:durableId="1918705817">
    <w:abstractNumId w:val="9"/>
  </w:num>
  <w:num w:numId="15" w16cid:durableId="398787546">
    <w:abstractNumId w:val="0"/>
  </w:num>
  <w:num w:numId="16" w16cid:durableId="6963905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219F3"/>
    <w:rsid w:val="00050156"/>
    <w:rsid w:val="0007036C"/>
    <w:rsid w:val="000742C1"/>
    <w:rsid w:val="00080915"/>
    <w:rsid w:val="00097E45"/>
    <w:rsid w:val="000C6A9D"/>
    <w:rsid w:val="000C700A"/>
    <w:rsid w:val="00106991"/>
    <w:rsid w:val="001313FA"/>
    <w:rsid w:val="00156554"/>
    <w:rsid w:val="00160C8A"/>
    <w:rsid w:val="0016513B"/>
    <w:rsid w:val="001667B0"/>
    <w:rsid w:val="001A0EEB"/>
    <w:rsid w:val="001C3B26"/>
    <w:rsid w:val="001E5995"/>
    <w:rsid w:val="002054B2"/>
    <w:rsid w:val="00215422"/>
    <w:rsid w:val="00226AEC"/>
    <w:rsid w:val="00230D27"/>
    <w:rsid w:val="0024333F"/>
    <w:rsid w:val="002547CD"/>
    <w:rsid w:val="0026766B"/>
    <w:rsid w:val="0027400A"/>
    <w:rsid w:val="00275155"/>
    <w:rsid w:val="002912BB"/>
    <w:rsid w:val="002A7F20"/>
    <w:rsid w:val="002B16D5"/>
    <w:rsid w:val="002D5350"/>
    <w:rsid w:val="002D66CA"/>
    <w:rsid w:val="002D7501"/>
    <w:rsid w:val="002E3B33"/>
    <w:rsid w:val="002F774D"/>
    <w:rsid w:val="00324276"/>
    <w:rsid w:val="003511C0"/>
    <w:rsid w:val="003525DF"/>
    <w:rsid w:val="00392E77"/>
    <w:rsid w:val="003C0C72"/>
    <w:rsid w:val="003C11A3"/>
    <w:rsid w:val="003C6F05"/>
    <w:rsid w:val="003F57E1"/>
    <w:rsid w:val="00443282"/>
    <w:rsid w:val="004458E3"/>
    <w:rsid w:val="00446549"/>
    <w:rsid w:val="004502A3"/>
    <w:rsid w:val="00457711"/>
    <w:rsid w:val="00471C38"/>
    <w:rsid w:val="00476F82"/>
    <w:rsid w:val="00495748"/>
    <w:rsid w:val="004C4DA4"/>
    <w:rsid w:val="004D35EF"/>
    <w:rsid w:val="004D3C00"/>
    <w:rsid w:val="004E180F"/>
    <w:rsid w:val="005054BF"/>
    <w:rsid w:val="00565756"/>
    <w:rsid w:val="0057154F"/>
    <w:rsid w:val="00586E62"/>
    <w:rsid w:val="00587150"/>
    <w:rsid w:val="005B2E78"/>
    <w:rsid w:val="005C0A62"/>
    <w:rsid w:val="005F36D4"/>
    <w:rsid w:val="00621075"/>
    <w:rsid w:val="006425E1"/>
    <w:rsid w:val="00647AB4"/>
    <w:rsid w:val="0065353A"/>
    <w:rsid w:val="00654493"/>
    <w:rsid w:val="00655B39"/>
    <w:rsid w:val="006640D2"/>
    <w:rsid w:val="006A31D7"/>
    <w:rsid w:val="006F6D10"/>
    <w:rsid w:val="00701BD1"/>
    <w:rsid w:val="0071216B"/>
    <w:rsid w:val="00712AD5"/>
    <w:rsid w:val="007464AD"/>
    <w:rsid w:val="00746DCB"/>
    <w:rsid w:val="007825C1"/>
    <w:rsid w:val="007D6092"/>
    <w:rsid w:val="007F39E4"/>
    <w:rsid w:val="007F7906"/>
    <w:rsid w:val="00817102"/>
    <w:rsid w:val="008174CD"/>
    <w:rsid w:val="00840E35"/>
    <w:rsid w:val="00846979"/>
    <w:rsid w:val="00863F2C"/>
    <w:rsid w:val="00870C17"/>
    <w:rsid w:val="008C6848"/>
    <w:rsid w:val="008D56D9"/>
    <w:rsid w:val="008D639F"/>
    <w:rsid w:val="008E4B84"/>
    <w:rsid w:val="00902F20"/>
    <w:rsid w:val="00904C36"/>
    <w:rsid w:val="00913806"/>
    <w:rsid w:val="00916270"/>
    <w:rsid w:val="00935E10"/>
    <w:rsid w:val="009622F1"/>
    <w:rsid w:val="00962AB5"/>
    <w:rsid w:val="00974D44"/>
    <w:rsid w:val="00992A4D"/>
    <w:rsid w:val="009A5CF3"/>
    <w:rsid w:val="009C6ACE"/>
    <w:rsid w:val="009D6FF0"/>
    <w:rsid w:val="009E7A83"/>
    <w:rsid w:val="00A20EF3"/>
    <w:rsid w:val="00A367C6"/>
    <w:rsid w:val="00A5273C"/>
    <w:rsid w:val="00A77CDF"/>
    <w:rsid w:val="00AA39A1"/>
    <w:rsid w:val="00AA6E52"/>
    <w:rsid w:val="00AC14E6"/>
    <w:rsid w:val="00AC315B"/>
    <w:rsid w:val="00AE4961"/>
    <w:rsid w:val="00AF5A87"/>
    <w:rsid w:val="00B31D48"/>
    <w:rsid w:val="00B32A41"/>
    <w:rsid w:val="00B32BE8"/>
    <w:rsid w:val="00B43B0F"/>
    <w:rsid w:val="00B66405"/>
    <w:rsid w:val="00B72279"/>
    <w:rsid w:val="00BC0169"/>
    <w:rsid w:val="00BC2771"/>
    <w:rsid w:val="00BC4255"/>
    <w:rsid w:val="00BF34B3"/>
    <w:rsid w:val="00BF5F04"/>
    <w:rsid w:val="00C106B0"/>
    <w:rsid w:val="00C11EA9"/>
    <w:rsid w:val="00C500E0"/>
    <w:rsid w:val="00C621BF"/>
    <w:rsid w:val="00C63BAB"/>
    <w:rsid w:val="00C83683"/>
    <w:rsid w:val="00CA7D52"/>
    <w:rsid w:val="00CB641A"/>
    <w:rsid w:val="00CD406D"/>
    <w:rsid w:val="00D1427A"/>
    <w:rsid w:val="00D22667"/>
    <w:rsid w:val="00D456ED"/>
    <w:rsid w:val="00D8211D"/>
    <w:rsid w:val="00D85B55"/>
    <w:rsid w:val="00D86D2A"/>
    <w:rsid w:val="00D87AA8"/>
    <w:rsid w:val="00DD305B"/>
    <w:rsid w:val="00DD33C2"/>
    <w:rsid w:val="00DD3E0C"/>
    <w:rsid w:val="00DF4739"/>
    <w:rsid w:val="00E13DCA"/>
    <w:rsid w:val="00E17D44"/>
    <w:rsid w:val="00E263E4"/>
    <w:rsid w:val="00E302B2"/>
    <w:rsid w:val="00E65026"/>
    <w:rsid w:val="00E72D38"/>
    <w:rsid w:val="00E93999"/>
    <w:rsid w:val="00EB6121"/>
    <w:rsid w:val="00EC38B4"/>
    <w:rsid w:val="00ED2777"/>
    <w:rsid w:val="00F32670"/>
    <w:rsid w:val="00F43B35"/>
    <w:rsid w:val="00F43D94"/>
    <w:rsid w:val="00F81B38"/>
    <w:rsid w:val="00FB459A"/>
    <w:rsid w:val="00FB5EC4"/>
    <w:rsid w:val="00FD0862"/>
    <w:rsid w:val="00FF01A0"/>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701BD1"/>
    <w:pPr>
      <w:spacing w:after="0" w:line="240" w:lineRule="auto"/>
    </w:pPr>
    <w:rPr>
      <w:rFonts w:ascii="Times New Roman" w:eastAsia="Times New Roman" w:hAnsi="Times New Roman" w:cs="Times New Roman"/>
      <w:kern w:val="0"/>
      <w:sz w:val="20"/>
      <w:szCs w:val="20"/>
      <w:lang w:val="en-US"/>
      <w14:ligatures w14:val="none"/>
    </w:rPr>
  </w:style>
  <w:style w:type="paragraph" w:styleId="ListBullet">
    <w:name w:val="List Bullet"/>
    <w:basedOn w:val="Normal"/>
    <w:uiPriority w:val="99"/>
    <w:unhideWhenUsed/>
    <w:rsid w:val="0071216B"/>
    <w:pPr>
      <w:numPr>
        <w:numId w:val="15"/>
      </w:numPr>
      <w:spacing w:after="200" w:line="276" w:lineRule="auto"/>
      <w:contextualSpacing/>
    </w:pPr>
    <w:rPr>
      <w:rFonts w:ascii="Arial" w:eastAsia="Arial" w:hAnsi="Arial" w:cstheme="minorBidi"/>
      <w:sz w:val="21"/>
      <w:szCs w:val="22"/>
    </w:rPr>
  </w:style>
  <w:style w:type="character" w:styleId="UnresolvedMention">
    <w:name w:val="Unresolved Mention"/>
    <w:basedOn w:val="DefaultParagraphFont"/>
    <w:uiPriority w:val="99"/>
    <w:semiHidden/>
    <w:unhideWhenUsed/>
    <w:rsid w:val="004D3C00"/>
    <w:rPr>
      <w:color w:val="605E5C"/>
      <w:shd w:val="clear" w:color="auto" w:fill="E1DFDD"/>
    </w:rPr>
  </w:style>
  <w:style w:type="character" w:styleId="FollowedHyperlink">
    <w:name w:val="FollowedHyperlink"/>
    <w:basedOn w:val="DefaultParagraphFont"/>
    <w:uiPriority w:val="99"/>
    <w:semiHidden/>
    <w:unhideWhenUsed/>
    <w:rsid w:val="004D3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DA0E3-0E28-4115-A95D-F09AB8CB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8BB2C-55A1-4E9B-A55C-C5243CD1C30A}">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3.xml><?xml version="1.0" encoding="utf-8"?>
<ds:datastoreItem xmlns:ds="http://schemas.openxmlformats.org/officeDocument/2006/customXml" ds:itemID="{22BEA294-D0B4-4D7E-98F6-586264FA0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6</cp:revision>
  <cp:lastPrinted>2026-05-25T04:39:00Z</cp:lastPrinted>
  <dcterms:created xsi:type="dcterms:W3CDTF">2026-05-26T13:38:00Z</dcterms:created>
  <dcterms:modified xsi:type="dcterms:W3CDTF">2026-05-26T13:46:00Z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