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C33E" w14:textId="091DD258" w:rsidR="001101C0" w:rsidRPr="00B87B30" w:rsidRDefault="001101C0" w:rsidP="00DB55E9">
      <w:pPr>
        <w:spacing w:before="120" w:after="120"/>
        <w:jc w:val="both"/>
        <w:rPr>
          <w:rFonts w:ascii="Aptos" w:hAnsi="Aptos" w:cstheme="minorHAnsi"/>
          <w:b/>
        </w:rPr>
      </w:pPr>
      <w:r w:rsidRPr="00B87B30">
        <w:rPr>
          <w:rFonts w:ascii="Aptos" w:hAnsi="Aptos" w:cstheme="minorHAnsi"/>
          <w:b/>
          <w:noProof/>
          <w:color w:val="000000"/>
        </w:rPr>
        <w:drawing>
          <wp:anchor distT="0" distB="0" distL="114300" distR="114300" simplePos="0" relativeHeight="251658240" behindDoc="1" locked="0" layoutInCell="1" allowOverlap="1" wp14:anchorId="7535C118" wp14:editId="086FD801">
            <wp:simplePos x="0" y="0"/>
            <wp:positionH relativeFrom="column">
              <wp:posOffset>5314950</wp:posOffset>
            </wp:positionH>
            <wp:positionV relativeFrom="paragraph">
              <wp:posOffset>-401955</wp:posOffset>
            </wp:positionV>
            <wp:extent cx="1079500" cy="1352550"/>
            <wp:effectExtent l="0" t="0" r="6350" b="0"/>
            <wp:wrapThrough wrapText="bothSides">
              <wp:wrapPolygon edited="0">
                <wp:start x="6480" y="0"/>
                <wp:lineTo x="4574" y="608"/>
                <wp:lineTo x="0" y="4259"/>
                <wp:lineTo x="0" y="11256"/>
                <wp:lineTo x="3431" y="14603"/>
                <wp:lineTo x="4955" y="14603"/>
                <wp:lineTo x="0" y="16732"/>
                <wp:lineTo x="0" y="20687"/>
                <wp:lineTo x="381" y="21296"/>
                <wp:lineTo x="19440" y="21296"/>
                <wp:lineTo x="21346" y="19470"/>
                <wp:lineTo x="21346" y="15820"/>
                <wp:lineTo x="14866" y="14603"/>
                <wp:lineTo x="19440" y="10648"/>
                <wp:lineTo x="19821" y="3955"/>
                <wp:lineTo x="15628" y="913"/>
                <wp:lineTo x="12960" y="0"/>
                <wp:lineTo x="648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logo (latest vers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79500" cy="1352550"/>
                    </a:xfrm>
                    <a:prstGeom prst="rect">
                      <a:avLst/>
                    </a:prstGeom>
                    <a:noFill/>
                    <a:ln w="9525">
                      <a:noFill/>
                      <a:miter lim="800000"/>
                      <a:headEnd/>
                      <a:tailEnd/>
                    </a:ln>
                  </pic:spPr>
                </pic:pic>
              </a:graphicData>
            </a:graphic>
            <wp14:sizeRelH relativeFrom="margin">
              <wp14:pctWidth>0</wp14:pctWidth>
            </wp14:sizeRelH>
          </wp:anchor>
        </w:drawing>
      </w:r>
    </w:p>
    <w:p w14:paraId="4CEBA7CF" w14:textId="77777777" w:rsidR="001101C0" w:rsidRPr="00B87B30" w:rsidRDefault="001101C0" w:rsidP="00DB55E9">
      <w:pPr>
        <w:spacing w:before="120" w:after="120"/>
        <w:jc w:val="both"/>
        <w:rPr>
          <w:rFonts w:ascii="Aptos" w:hAnsi="Aptos" w:cstheme="minorHAnsi"/>
          <w:b/>
        </w:rPr>
      </w:pPr>
    </w:p>
    <w:p w14:paraId="548C75A1" w14:textId="00EADB4C" w:rsidR="001101C0" w:rsidRPr="00B87B30" w:rsidRDefault="001101C0" w:rsidP="00DB55E9">
      <w:pPr>
        <w:spacing w:before="120" w:after="120"/>
        <w:jc w:val="both"/>
        <w:rPr>
          <w:rFonts w:ascii="Aptos" w:hAnsi="Aptos" w:cstheme="minorHAnsi"/>
          <w:b/>
        </w:rPr>
      </w:pPr>
      <w:r w:rsidRPr="00B87B30">
        <w:rPr>
          <w:rFonts w:ascii="Aptos" w:hAnsi="Aptos" w:cstheme="minorHAnsi"/>
          <w:b/>
        </w:rPr>
        <w:t xml:space="preserve">TERMS OF REFERENCE </w:t>
      </w:r>
    </w:p>
    <w:p w14:paraId="2B897FF9" w14:textId="77777777" w:rsidR="001101C0" w:rsidRPr="00B87B30" w:rsidRDefault="001101C0" w:rsidP="00DB55E9">
      <w:pPr>
        <w:spacing w:before="120" w:after="120"/>
        <w:jc w:val="both"/>
        <w:rPr>
          <w:rFonts w:ascii="Aptos" w:hAnsi="Aptos" w:cstheme="minorHAnsi"/>
          <w:b/>
          <w:bCs/>
        </w:rPr>
      </w:pPr>
    </w:p>
    <w:p w14:paraId="54FF4F2B" w14:textId="5DD0B3BA" w:rsidR="001101C0" w:rsidRPr="00B87B30" w:rsidRDefault="001101C0" w:rsidP="00DB55E9">
      <w:pPr>
        <w:spacing w:before="120" w:after="120"/>
        <w:ind w:left="1350" w:hanging="1350"/>
        <w:jc w:val="both"/>
        <w:rPr>
          <w:rFonts w:ascii="Aptos" w:eastAsia="Times New Roman" w:hAnsi="Aptos" w:cstheme="minorHAnsi"/>
          <w:bCs/>
          <w:color w:val="000000" w:themeColor="text1"/>
        </w:rPr>
      </w:pPr>
      <w:r w:rsidRPr="00B87B30">
        <w:rPr>
          <w:rFonts w:ascii="Aptos" w:hAnsi="Aptos" w:cstheme="minorHAnsi"/>
          <w:b/>
          <w:color w:val="E36C0A" w:themeColor="accent6" w:themeShade="BF"/>
        </w:rPr>
        <w:t>Title</w:t>
      </w:r>
      <w:r w:rsidRPr="00B87B30">
        <w:rPr>
          <w:rFonts w:ascii="Aptos" w:hAnsi="Aptos" w:cstheme="minorHAnsi"/>
          <w:b/>
          <w:color w:val="984806" w:themeColor="accent6" w:themeShade="80"/>
        </w:rPr>
        <w:t xml:space="preserve">: </w:t>
      </w:r>
      <w:r w:rsidRPr="00B87B30">
        <w:rPr>
          <w:rFonts w:ascii="Aptos" w:hAnsi="Aptos" w:cstheme="minorHAnsi"/>
          <w:b/>
          <w:color w:val="FF0000"/>
        </w:rPr>
        <w:tab/>
      </w:r>
      <w:r w:rsidRPr="00B87B30">
        <w:rPr>
          <w:rFonts w:ascii="Aptos" w:hAnsi="Aptos" w:cstheme="minorHAnsi"/>
          <w:b/>
          <w:color w:val="FF0000"/>
        </w:rPr>
        <w:tab/>
      </w:r>
      <w:r w:rsidRPr="00B87B30">
        <w:rPr>
          <w:rFonts w:ascii="Aptos" w:eastAsia="Times New Roman" w:hAnsi="Aptos" w:cstheme="minorHAnsi"/>
          <w:bCs/>
          <w:color w:val="000000" w:themeColor="text1"/>
        </w:rPr>
        <w:t xml:space="preserve">MEAL </w:t>
      </w:r>
      <w:r w:rsidRPr="00B87B30">
        <w:rPr>
          <w:rFonts w:ascii="Aptos" w:hAnsi="Aptos" w:cstheme="minorHAnsi"/>
          <w:bCs/>
          <w:color w:val="000000" w:themeColor="text1"/>
        </w:rPr>
        <w:t>Consultancy services.</w:t>
      </w:r>
    </w:p>
    <w:p w14:paraId="618D0B0C" w14:textId="77777777" w:rsidR="001101C0" w:rsidRPr="00B87B30" w:rsidRDefault="001101C0" w:rsidP="00DB55E9">
      <w:pPr>
        <w:spacing w:before="120" w:after="120"/>
        <w:jc w:val="both"/>
        <w:rPr>
          <w:rFonts w:ascii="Aptos" w:hAnsi="Aptos" w:cstheme="minorHAnsi"/>
          <w:color w:val="FF0000"/>
          <w:lang w:val="fr-FR"/>
        </w:rPr>
      </w:pPr>
      <w:r w:rsidRPr="00B87B30">
        <w:rPr>
          <w:rFonts w:ascii="Aptos" w:hAnsi="Aptos" w:cstheme="minorHAnsi"/>
          <w:b/>
          <w:color w:val="E36C0A" w:themeColor="accent6" w:themeShade="BF"/>
        </w:rPr>
        <w:t>Location:</w:t>
      </w:r>
      <w:r w:rsidRPr="00B87B30">
        <w:rPr>
          <w:rFonts w:ascii="Aptos" w:hAnsi="Aptos" w:cstheme="minorHAnsi"/>
          <w:color w:val="FF0000"/>
          <w:lang w:val="fr-FR"/>
        </w:rPr>
        <w:t xml:space="preserve"> </w:t>
      </w:r>
      <w:r w:rsidRPr="00B87B30">
        <w:rPr>
          <w:rFonts w:ascii="Aptos" w:hAnsi="Aptos" w:cstheme="minorHAnsi"/>
          <w:color w:val="FF0000"/>
          <w:lang w:val="fr-FR"/>
        </w:rPr>
        <w:tab/>
      </w:r>
      <w:r w:rsidRPr="00B87B30">
        <w:rPr>
          <w:rFonts w:ascii="Aptos" w:hAnsi="Aptos" w:cstheme="minorHAnsi"/>
          <w:color w:val="000000" w:themeColor="text1"/>
        </w:rPr>
        <w:t>CARE Vietnam’s project sites</w:t>
      </w:r>
    </w:p>
    <w:p w14:paraId="7AEDB0CF" w14:textId="13D53FB2" w:rsidR="001101C0" w:rsidRPr="00B87B30" w:rsidRDefault="001101C0" w:rsidP="00B87B30">
      <w:pPr>
        <w:pStyle w:val="xmsonormal"/>
        <w:jc w:val="both"/>
        <w:rPr>
          <w:rFonts w:ascii="Aptos" w:hAnsi="Aptos"/>
          <w:lang w:val="en-GB"/>
        </w:rPr>
      </w:pPr>
      <w:r w:rsidRPr="00B87B30">
        <w:rPr>
          <w:rFonts w:ascii="Aptos" w:hAnsi="Aptos" w:cstheme="minorHAnsi"/>
          <w:b/>
          <w:color w:val="E36C0A" w:themeColor="accent6" w:themeShade="BF"/>
        </w:rPr>
        <w:t>Duration</w:t>
      </w:r>
      <w:proofErr w:type="gramStart"/>
      <w:r w:rsidRPr="00B87B30">
        <w:rPr>
          <w:rFonts w:ascii="Aptos" w:hAnsi="Aptos" w:cstheme="minorHAnsi"/>
          <w:b/>
          <w:color w:val="E36C0A" w:themeColor="accent6" w:themeShade="BF"/>
        </w:rPr>
        <w:t>:</w:t>
      </w:r>
      <w:r w:rsidRPr="00B87B30">
        <w:rPr>
          <w:rFonts w:ascii="Aptos" w:hAnsi="Aptos" w:cstheme="minorHAnsi"/>
          <w:b/>
          <w:color w:val="FF0000"/>
        </w:rPr>
        <w:t xml:space="preserve"> </w:t>
      </w:r>
      <w:r w:rsidRPr="00B87B30">
        <w:rPr>
          <w:rFonts w:ascii="Aptos" w:hAnsi="Aptos" w:cstheme="minorHAnsi"/>
          <w:color w:val="FF0000"/>
        </w:rPr>
        <w:t xml:space="preserve"> </w:t>
      </w:r>
      <w:r w:rsidRPr="00B87B30">
        <w:rPr>
          <w:rFonts w:ascii="Aptos" w:hAnsi="Aptos" w:cstheme="minorHAnsi"/>
          <w:color w:val="FF0000"/>
        </w:rPr>
        <w:tab/>
      </w:r>
      <w:proofErr w:type="gramEnd"/>
      <w:r w:rsidR="00B87B30" w:rsidRPr="00B87B30">
        <w:rPr>
          <w:rFonts w:ascii="Aptos" w:hAnsi="Aptos"/>
          <w:lang w:val="en-GB"/>
        </w:rPr>
        <w:t xml:space="preserve">The Framework Agreement is expected to be initially signed for a duration of </w:t>
      </w:r>
      <w:r w:rsidR="00B87B30" w:rsidRPr="00B87B30">
        <w:rPr>
          <w:rFonts w:ascii="Aptos" w:hAnsi="Aptos"/>
          <w:b/>
          <w:bCs/>
          <w:lang w:val="en-GB"/>
        </w:rPr>
        <w:t>two (02) years</w:t>
      </w:r>
      <w:r w:rsidR="00B87B30" w:rsidRPr="00B87B30">
        <w:rPr>
          <w:rFonts w:ascii="Aptos" w:hAnsi="Aptos"/>
          <w:lang w:val="en-GB"/>
        </w:rPr>
        <w:t xml:space="preserve">; thereafter, subject to satisfactory performance evaluation, the Agreement may be extended for an additional </w:t>
      </w:r>
      <w:r w:rsidR="00B87B30" w:rsidRPr="00B87B30">
        <w:rPr>
          <w:rFonts w:ascii="Aptos" w:hAnsi="Aptos"/>
          <w:b/>
          <w:bCs/>
          <w:lang w:val="en-GB"/>
        </w:rPr>
        <w:t>one (01) year</w:t>
      </w:r>
    </w:p>
    <w:p w14:paraId="0BA4F328" w14:textId="221F23EA" w:rsidR="001101C0" w:rsidRPr="00B87B30" w:rsidRDefault="001101C0" w:rsidP="00DB55E9">
      <w:pPr>
        <w:spacing w:before="120" w:after="120"/>
        <w:jc w:val="both"/>
        <w:rPr>
          <w:rFonts w:ascii="Aptos" w:hAnsi="Aptos" w:cstheme="minorHAnsi"/>
          <w:b/>
          <w:bCs/>
        </w:rPr>
      </w:pPr>
      <w:proofErr w:type="gramStart"/>
      <w:r w:rsidRPr="00B87B30">
        <w:rPr>
          <w:rFonts w:ascii="Aptos" w:hAnsi="Aptos" w:cstheme="minorHAnsi"/>
          <w:b/>
          <w:color w:val="E36C0A" w:themeColor="accent6" w:themeShade="BF"/>
        </w:rPr>
        <w:t>Reporting</w:t>
      </w:r>
      <w:proofErr w:type="gramEnd"/>
      <w:r w:rsidRPr="00B87B30">
        <w:rPr>
          <w:rFonts w:ascii="Aptos" w:hAnsi="Aptos" w:cstheme="minorHAnsi"/>
          <w:b/>
          <w:color w:val="E36C0A" w:themeColor="accent6" w:themeShade="BF"/>
        </w:rPr>
        <w:t xml:space="preserve"> to</w:t>
      </w:r>
      <w:proofErr w:type="gramStart"/>
      <w:r w:rsidRPr="00B87B30">
        <w:rPr>
          <w:rFonts w:ascii="Aptos" w:hAnsi="Aptos" w:cstheme="minorHAnsi"/>
          <w:b/>
          <w:color w:val="E36C0A" w:themeColor="accent6" w:themeShade="BF"/>
        </w:rPr>
        <w:t>:</w:t>
      </w:r>
      <w:r w:rsidRPr="00B87B30">
        <w:rPr>
          <w:rFonts w:ascii="Aptos" w:hAnsi="Aptos" w:cstheme="minorHAnsi"/>
          <w:bCs/>
          <w:color w:val="FF0000"/>
        </w:rPr>
        <w:t xml:space="preserve"> </w:t>
      </w:r>
      <w:r w:rsidRPr="00B87B30">
        <w:rPr>
          <w:rFonts w:ascii="Aptos" w:hAnsi="Aptos" w:cstheme="minorHAnsi"/>
          <w:bCs/>
          <w:color w:val="FF0000"/>
        </w:rPr>
        <w:tab/>
      </w:r>
      <w:r w:rsidRPr="00B87B30">
        <w:rPr>
          <w:rFonts w:ascii="Aptos" w:hAnsi="Aptos" w:cstheme="minorHAnsi"/>
          <w:color w:val="000000" w:themeColor="text1"/>
        </w:rPr>
        <w:t>MEAL</w:t>
      </w:r>
      <w:proofErr w:type="gramEnd"/>
      <w:r w:rsidRPr="00B87B30">
        <w:rPr>
          <w:rFonts w:ascii="Aptos" w:hAnsi="Aptos" w:cstheme="minorHAnsi"/>
          <w:color w:val="000000" w:themeColor="text1"/>
        </w:rPr>
        <w:t xml:space="preserve"> Advisor </w:t>
      </w:r>
    </w:p>
    <w:p w14:paraId="5211060B" w14:textId="77777777" w:rsidR="001101C0" w:rsidRPr="00B87B30" w:rsidRDefault="001101C0" w:rsidP="00DB55E9">
      <w:pPr>
        <w:pStyle w:val="xmsonormal"/>
        <w:spacing w:before="120" w:after="120"/>
        <w:jc w:val="both"/>
        <w:rPr>
          <w:rFonts w:ascii="Aptos" w:hAnsi="Aptos" w:cstheme="minorHAnsi"/>
          <w:sz w:val="22"/>
          <w:szCs w:val="22"/>
        </w:rPr>
      </w:pPr>
    </w:p>
    <w:p w14:paraId="7221BCE5" w14:textId="77777777" w:rsidR="001101C0" w:rsidRPr="00B87B30" w:rsidRDefault="001101C0" w:rsidP="00DB55E9">
      <w:pPr>
        <w:pStyle w:val="xmsonormal"/>
        <w:spacing w:before="120" w:after="120"/>
        <w:jc w:val="both"/>
        <w:rPr>
          <w:rFonts w:ascii="Aptos" w:hAnsi="Aptos" w:cstheme="minorHAnsi"/>
          <w:sz w:val="22"/>
          <w:szCs w:val="22"/>
        </w:rPr>
      </w:pPr>
      <w:r w:rsidRPr="00B87B30">
        <w:rPr>
          <w:rFonts w:ascii="Aptos" w:hAnsi="Aptos" w:cstheme="minorHAnsi"/>
          <w:sz w:val="22"/>
          <w:szCs w:val="22"/>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major disasters. Together, we aim for a society that develops fairly and equitably for everyone. </w:t>
      </w:r>
    </w:p>
    <w:p w14:paraId="1358826C" w14:textId="77777777" w:rsidR="001101C0" w:rsidRPr="00B87B30" w:rsidRDefault="001101C0" w:rsidP="00DB55E9">
      <w:pPr>
        <w:pStyle w:val="NormalWeb"/>
        <w:spacing w:before="120" w:beforeAutospacing="0" w:after="120" w:afterAutospacing="0"/>
        <w:jc w:val="both"/>
        <w:rPr>
          <w:rFonts w:ascii="Aptos" w:eastAsiaTheme="minorHAnsi" w:hAnsi="Aptos" w:cstheme="minorHAnsi"/>
          <w:sz w:val="22"/>
          <w:szCs w:val="22"/>
        </w:rPr>
      </w:pPr>
    </w:p>
    <w:p w14:paraId="45902BFF" w14:textId="5B1C6636" w:rsidR="001101C0" w:rsidRPr="00B87B30" w:rsidRDefault="002B22BF" w:rsidP="00DB55E9">
      <w:pPr>
        <w:pStyle w:val="Heading3"/>
        <w:spacing w:before="120" w:after="120"/>
        <w:jc w:val="both"/>
        <w:rPr>
          <w:rFonts w:ascii="Aptos" w:eastAsiaTheme="minorHAnsi" w:hAnsi="Aptos" w:cstheme="minorHAnsi"/>
          <w:b/>
          <w:bCs/>
          <w:color w:val="E36C0A" w:themeColor="accent6" w:themeShade="BF"/>
        </w:rPr>
      </w:pPr>
      <w:r w:rsidRPr="00B87B30">
        <w:rPr>
          <w:rFonts w:ascii="Aptos" w:eastAsiaTheme="minorHAnsi" w:hAnsi="Aptos" w:cstheme="minorHAnsi"/>
          <w:b/>
          <w:bCs/>
          <w:color w:val="E36C0A" w:themeColor="accent6" w:themeShade="BF"/>
        </w:rPr>
        <w:t xml:space="preserve">CARE Vietnam programming and </w:t>
      </w:r>
      <w:r w:rsidR="001101C0" w:rsidRPr="00B87B30">
        <w:rPr>
          <w:rFonts w:ascii="Aptos" w:eastAsiaTheme="minorHAnsi" w:hAnsi="Aptos" w:cstheme="minorHAnsi"/>
          <w:b/>
          <w:bCs/>
          <w:color w:val="E36C0A" w:themeColor="accent6" w:themeShade="BF"/>
        </w:rPr>
        <w:t>MEAL approach</w:t>
      </w:r>
    </w:p>
    <w:p w14:paraId="46F4A968" w14:textId="0EA8D126" w:rsidR="001101C0" w:rsidRPr="00B87B30" w:rsidRDefault="002B22BF" w:rsidP="00DB55E9">
      <w:pPr>
        <w:pStyle w:val="Heading3"/>
        <w:widowControl/>
        <w:spacing w:before="120" w:after="120"/>
        <w:jc w:val="both"/>
        <w:rPr>
          <w:rFonts w:ascii="Aptos" w:hAnsi="Aptos" w:cstheme="minorHAnsi"/>
          <w:color w:val="auto"/>
          <w:sz w:val="22"/>
          <w:szCs w:val="22"/>
        </w:rPr>
      </w:pPr>
      <w:r w:rsidRPr="00B87B30">
        <w:rPr>
          <w:rFonts w:ascii="Aptos" w:hAnsi="Aptos" w:cstheme="minorHAnsi"/>
          <w:color w:val="auto"/>
          <w:sz w:val="22"/>
          <w:szCs w:val="22"/>
        </w:rPr>
        <w:t>CARE Vietnam’s programming focuses on addressing the underlying causes of poverty, inequality, and social injustice, while promoting gender equality, women’s empowerment, climate justice, resilience, and inclusive development. CARE works with poor, vulnerable, and marginalized groups, particularly women, ethnic minorities, smallholder farmers, workers, small and micro-enterprise owners, youth, people affected by climate change, and other at-risk communities. Through its programs, CARE supports these groups to strengthen their voice, agency, livelihoods, adaptive capacity, access to resources and services, and participation in decision-making processes.</w:t>
      </w:r>
      <w:r w:rsidR="001101C0" w:rsidRPr="00B87B30">
        <w:rPr>
          <w:rFonts w:ascii="Aptos" w:hAnsi="Aptos" w:cstheme="minorHAnsi"/>
          <w:color w:val="auto"/>
          <w:sz w:val="22"/>
          <w:szCs w:val="22"/>
        </w:rPr>
        <w:t>CARE has a global approach for MEAL that recognizes the work we do in dynamic and complex contexts, where lasting social change does not follow a linear timeline or a single pathway, where multiple stakeholders interact and influence each other as well as our interventions, and where there are constant adjustments in social, economic, structural, environmental or other dimensions that we must be critically aware of and adapt to.</w:t>
      </w:r>
    </w:p>
    <w:p w14:paraId="3313D778" w14:textId="77777777" w:rsidR="001101C0" w:rsidRPr="00B87B30" w:rsidRDefault="001101C0" w:rsidP="00DB55E9">
      <w:pPr>
        <w:pStyle w:val="Heading3"/>
        <w:spacing w:before="120" w:after="120"/>
        <w:jc w:val="both"/>
        <w:rPr>
          <w:rFonts w:ascii="Aptos" w:hAnsi="Aptos" w:cstheme="minorHAnsi"/>
          <w:b/>
          <w:bCs/>
          <w:color w:val="auto"/>
          <w:sz w:val="22"/>
          <w:szCs w:val="22"/>
        </w:rPr>
      </w:pPr>
      <w:r w:rsidRPr="00B87B30">
        <w:rPr>
          <w:rFonts w:ascii="Aptos" w:hAnsi="Aptos" w:cstheme="minorHAnsi"/>
          <w:color w:val="auto"/>
          <w:sz w:val="22"/>
          <w:szCs w:val="22"/>
        </w:rPr>
        <w:t>This means, MEAL systems have to continuously generate comprehensive explanations and evidence on the way we think about a situation or problem and its underlying causes; a process of desired social change; how CARE's interventions contribute to that change, and how other factors and critical preconditions take place in society in order for that change to happen. With evolving contexts in the region, CARE country presence and RMU from time to time need MEAL support to either fill capacity gaps or provide additional technical support to meet the project/ program requirements.</w:t>
      </w:r>
    </w:p>
    <w:p w14:paraId="226D248D" w14:textId="33CA09B3" w:rsidR="001101C0" w:rsidRPr="00B87B30" w:rsidRDefault="001101C0" w:rsidP="00DB55E9">
      <w:pPr>
        <w:spacing w:before="120" w:after="120"/>
        <w:jc w:val="both"/>
        <w:rPr>
          <w:rFonts w:ascii="Aptos" w:eastAsiaTheme="minorHAnsi" w:hAnsi="Aptos" w:cstheme="minorHAnsi"/>
          <w:b/>
          <w:bCs/>
          <w:color w:val="E36C0A" w:themeColor="accent6" w:themeShade="BF"/>
          <w:sz w:val="24"/>
          <w:szCs w:val="24"/>
        </w:rPr>
      </w:pPr>
      <w:r w:rsidRPr="00B87B30">
        <w:rPr>
          <w:rFonts w:ascii="Aptos" w:eastAsiaTheme="minorHAnsi" w:hAnsi="Aptos" w:cstheme="minorHAnsi"/>
          <w:b/>
          <w:bCs/>
          <w:color w:val="E36C0A" w:themeColor="accent6" w:themeShade="BF"/>
          <w:sz w:val="24"/>
          <w:szCs w:val="24"/>
        </w:rPr>
        <w:t>Rationale and purposes</w:t>
      </w:r>
    </w:p>
    <w:p w14:paraId="457EB875" w14:textId="1BC0822D" w:rsidR="001101C0" w:rsidRPr="00B87B30" w:rsidRDefault="00F10075" w:rsidP="00B87B30">
      <w:pPr>
        <w:pStyle w:val="xmsonormal"/>
        <w:jc w:val="both"/>
        <w:rPr>
          <w:rFonts w:ascii="Aptos" w:hAnsi="Aptos"/>
          <w:lang w:val="en-GB"/>
        </w:rPr>
      </w:pPr>
      <w:r w:rsidRPr="00B87B30">
        <w:rPr>
          <w:rFonts w:ascii="Aptos" w:eastAsiaTheme="majorEastAsia" w:hAnsi="Aptos" w:cstheme="minorHAnsi"/>
        </w:rPr>
        <w:t xml:space="preserve">CARE in </w:t>
      </w:r>
      <w:r w:rsidR="001101C0" w:rsidRPr="00B87B30">
        <w:rPr>
          <w:rFonts w:ascii="Aptos" w:eastAsiaTheme="majorEastAsia" w:hAnsi="Aptos" w:cstheme="minorHAnsi"/>
        </w:rPr>
        <w:t xml:space="preserve">Vietnam </w:t>
      </w:r>
      <w:r w:rsidRPr="00B87B30">
        <w:rPr>
          <w:rFonts w:ascii="Aptos" w:eastAsiaTheme="majorEastAsia" w:hAnsi="Aptos" w:cstheme="minorHAnsi"/>
        </w:rPr>
        <w:t xml:space="preserve">is seeking </w:t>
      </w:r>
      <w:proofErr w:type="gramStart"/>
      <w:r w:rsidRPr="00B87B30">
        <w:rPr>
          <w:rFonts w:ascii="Aptos" w:eastAsiaTheme="majorEastAsia" w:hAnsi="Aptos" w:cstheme="minorHAnsi"/>
        </w:rPr>
        <w:t>highly-skilled</w:t>
      </w:r>
      <w:proofErr w:type="gramEnd"/>
      <w:r w:rsidRPr="00B87B30">
        <w:rPr>
          <w:rFonts w:ascii="Aptos" w:eastAsiaTheme="majorEastAsia" w:hAnsi="Aptos" w:cstheme="minorHAnsi"/>
        </w:rPr>
        <w:t xml:space="preserve"> Monitoring Evaluation</w:t>
      </w:r>
      <w:r w:rsidRPr="00B87B30">
        <w:rPr>
          <w:rFonts w:ascii="Aptos" w:hAnsi="Aptos" w:cstheme="minorHAnsi"/>
          <w:spacing w:val="-8"/>
        </w:rPr>
        <w:t xml:space="preserve"> </w:t>
      </w:r>
      <w:r w:rsidRPr="00B87B30">
        <w:rPr>
          <w:rFonts w:ascii="Aptos" w:hAnsi="Aptos" w:cstheme="minorHAnsi"/>
        </w:rPr>
        <w:t>Accountability</w:t>
      </w:r>
      <w:r w:rsidRPr="00B87B30">
        <w:rPr>
          <w:rFonts w:ascii="Aptos" w:hAnsi="Aptos" w:cstheme="minorHAnsi"/>
          <w:spacing w:val="-7"/>
        </w:rPr>
        <w:t xml:space="preserve"> </w:t>
      </w:r>
      <w:r w:rsidRPr="00B87B30">
        <w:rPr>
          <w:rFonts w:ascii="Aptos" w:hAnsi="Aptos" w:cstheme="minorHAnsi"/>
        </w:rPr>
        <w:t>and</w:t>
      </w:r>
      <w:r w:rsidRPr="00B87B30">
        <w:rPr>
          <w:rFonts w:ascii="Aptos" w:hAnsi="Aptos" w:cstheme="minorHAnsi"/>
          <w:spacing w:val="-8"/>
        </w:rPr>
        <w:t xml:space="preserve"> </w:t>
      </w:r>
      <w:r w:rsidRPr="00B87B30">
        <w:rPr>
          <w:rFonts w:ascii="Aptos" w:hAnsi="Aptos" w:cstheme="minorHAnsi"/>
        </w:rPr>
        <w:t>Learning</w:t>
      </w:r>
      <w:r w:rsidRPr="00B87B30">
        <w:rPr>
          <w:rFonts w:ascii="Aptos" w:hAnsi="Aptos" w:cstheme="minorHAnsi"/>
          <w:spacing w:val="-8"/>
        </w:rPr>
        <w:t xml:space="preserve"> </w:t>
      </w:r>
      <w:r w:rsidR="001101C0" w:rsidRPr="00B87B30">
        <w:rPr>
          <w:rFonts w:ascii="Aptos" w:hAnsi="Aptos" w:cstheme="minorHAnsi"/>
        </w:rPr>
        <w:t>firms</w:t>
      </w:r>
      <w:r w:rsidR="00B87B30" w:rsidRPr="00B87B30">
        <w:rPr>
          <w:rFonts w:ascii="Aptos" w:hAnsi="Aptos" w:cstheme="minorHAnsi"/>
        </w:rPr>
        <w:t xml:space="preserve">/consultant team </w:t>
      </w:r>
      <w:r w:rsidR="001101C0" w:rsidRPr="00B87B30">
        <w:rPr>
          <w:rFonts w:ascii="Aptos" w:hAnsi="Aptos" w:cstheme="minorHAnsi"/>
        </w:rPr>
        <w:t>(MEAL consultancy services)</w:t>
      </w:r>
      <w:r w:rsidRPr="00B87B30">
        <w:rPr>
          <w:rFonts w:ascii="Aptos" w:hAnsi="Aptos" w:cstheme="minorHAnsi"/>
          <w:spacing w:val="-7"/>
        </w:rPr>
        <w:t xml:space="preserve"> </w:t>
      </w:r>
      <w:r w:rsidRPr="00B87B30">
        <w:rPr>
          <w:rFonts w:ascii="Aptos" w:hAnsi="Aptos" w:cstheme="minorHAnsi"/>
        </w:rPr>
        <w:t>who</w:t>
      </w:r>
      <w:r w:rsidRPr="00B87B30">
        <w:rPr>
          <w:rFonts w:ascii="Aptos" w:hAnsi="Aptos" w:cstheme="minorHAnsi"/>
          <w:spacing w:val="-6"/>
        </w:rPr>
        <w:t xml:space="preserve"> </w:t>
      </w:r>
      <w:r w:rsidRPr="00B87B30">
        <w:rPr>
          <w:rFonts w:ascii="Aptos" w:hAnsi="Aptos" w:cstheme="minorHAnsi"/>
        </w:rPr>
        <w:t>are</w:t>
      </w:r>
      <w:r w:rsidRPr="00B87B30">
        <w:rPr>
          <w:rFonts w:ascii="Aptos" w:hAnsi="Aptos" w:cstheme="minorHAnsi"/>
          <w:spacing w:val="-7"/>
        </w:rPr>
        <w:t xml:space="preserve"> </w:t>
      </w:r>
      <w:r w:rsidRPr="00B87B30">
        <w:rPr>
          <w:rFonts w:ascii="Aptos" w:hAnsi="Aptos" w:cstheme="minorHAnsi"/>
        </w:rPr>
        <w:t>willing</w:t>
      </w:r>
      <w:r w:rsidRPr="00B87B30">
        <w:rPr>
          <w:rFonts w:ascii="Aptos" w:hAnsi="Aptos" w:cstheme="minorHAnsi"/>
          <w:spacing w:val="-8"/>
        </w:rPr>
        <w:t xml:space="preserve"> </w:t>
      </w:r>
      <w:r w:rsidRPr="00B87B30">
        <w:rPr>
          <w:rFonts w:ascii="Aptos" w:hAnsi="Aptos" w:cstheme="minorHAnsi"/>
        </w:rPr>
        <w:t>to</w:t>
      </w:r>
      <w:r w:rsidRPr="00B87B30">
        <w:rPr>
          <w:rFonts w:ascii="Aptos" w:hAnsi="Aptos" w:cstheme="minorHAnsi"/>
          <w:spacing w:val="-6"/>
        </w:rPr>
        <w:t xml:space="preserve"> </w:t>
      </w:r>
      <w:r w:rsidRPr="00B87B30">
        <w:rPr>
          <w:rFonts w:ascii="Aptos" w:hAnsi="Aptos" w:cstheme="minorHAnsi"/>
        </w:rPr>
        <w:t>work</w:t>
      </w:r>
      <w:r w:rsidRPr="00B87B30">
        <w:rPr>
          <w:rFonts w:ascii="Aptos" w:hAnsi="Aptos" w:cstheme="minorHAnsi"/>
          <w:spacing w:val="-9"/>
        </w:rPr>
        <w:t xml:space="preserve"> </w:t>
      </w:r>
      <w:r w:rsidRPr="00B87B30">
        <w:rPr>
          <w:rFonts w:ascii="Aptos" w:hAnsi="Aptos" w:cstheme="minorHAnsi"/>
        </w:rPr>
        <w:t>with CARE for a long-term basis under a ‘</w:t>
      </w:r>
      <w:r w:rsidRPr="00B87B30">
        <w:rPr>
          <w:rFonts w:ascii="Aptos" w:hAnsi="Aptos" w:cstheme="minorHAnsi"/>
          <w:b/>
          <w:i/>
        </w:rPr>
        <w:t xml:space="preserve">Consultancy Framework Agreement.’ </w:t>
      </w:r>
      <w:r w:rsidRPr="00B87B30">
        <w:rPr>
          <w:rFonts w:ascii="Aptos" w:hAnsi="Aptos" w:cstheme="minorHAnsi"/>
        </w:rPr>
        <w:t xml:space="preserve">The </w:t>
      </w:r>
      <w:r w:rsidRPr="00B87B30">
        <w:rPr>
          <w:rFonts w:ascii="Aptos" w:hAnsi="Aptos" w:cstheme="minorHAnsi"/>
          <w:b/>
          <w:i/>
        </w:rPr>
        <w:t xml:space="preserve">Consultancy Framework Agreement </w:t>
      </w:r>
      <w:r w:rsidRPr="00B87B30">
        <w:rPr>
          <w:rFonts w:ascii="Aptos" w:hAnsi="Aptos" w:cstheme="minorHAnsi"/>
        </w:rPr>
        <w:t xml:space="preserve">is an arrangement that permits CARE to retain one or more qualified </w:t>
      </w:r>
      <w:r w:rsidR="001101C0" w:rsidRPr="00B87B30">
        <w:rPr>
          <w:rFonts w:ascii="Aptos" w:hAnsi="Aptos" w:cstheme="minorHAnsi"/>
        </w:rPr>
        <w:t xml:space="preserve">MEAL </w:t>
      </w:r>
      <w:r w:rsidRPr="00B87B30">
        <w:rPr>
          <w:rFonts w:ascii="Aptos" w:hAnsi="Aptos" w:cstheme="minorHAnsi"/>
        </w:rPr>
        <w:t>consultant</w:t>
      </w:r>
      <w:r w:rsidR="001101C0" w:rsidRPr="00B87B30">
        <w:rPr>
          <w:rFonts w:ascii="Aptos" w:hAnsi="Aptos" w:cstheme="minorHAnsi"/>
        </w:rPr>
        <w:t>cy services</w:t>
      </w:r>
      <w:r w:rsidRPr="00B87B30">
        <w:rPr>
          <w:rFonts w:ascii="Aptos" w:hAnsi="Aptos" w:cstheme="minorHAnsi"/>
        </w:rPr>
        <w:t xml:space="preserve"> </w:t>
      </w:r>
      <w:r w:rsidRPr="00B87B30">
        <w:rPr>
          <w:rFonts w:ascii="Aptos" w:hAnsi="Aptos" w:cstheme="minorHAnsi"/>
          <w:spacing w:val="-2"/>
        </w:rPr>
        <w:t xml:space="preserve">for multiple consultancy assignments within a </w:t>
      </w:r>
      <w:r w:rsidR="00B87B30" w:rsidRPr="00B87B30">
        <w:rPr>
          <w:rFonts w:ascii="Aptos" w:hAnsi="Aptos" w:cstheme="minorHAnsi"/>
          <w:spacing w:val="-2"/>
        </w:rPr>
        <w:t>36-month</w:t>
      </w:r>
      <w:r w:rsidRPr="00B87B30">
        <w:rPr>
          <w:rFonts w:ascii="Aptos" w:hAnsi="Aptos" w:cstheme="minorHAnsi"/>
          <w:spacing w:val="-2"/>
        </w:rPr>
        <w:t xml:space="preserve"> period</w:t>
      </w:r>
      <w:r w:rsidR="00B87B30" w:rsidRPr="00B87B30">
        <w:rPr>
          <w:rFonts w:ascii="Aptos" w:hAnsi="Aptos" w:cstheme="minorHAnsi"/>
          <w:spacing w:val="-2"/>
        </w:rPr>
        <w:t xml:space="preserve"> (</w:t>
      </w:r>
      <w:r w:rsidR="00B87B30" w:rsidRPr="00B87B30">
        <w:rPr>
          <w:rFonts w:ascii="Aptos" w:hAnsi="Aptos"/>
          <w:lang w:val="en-GB"/>
        </w:rPr>
        <w:t xml:space="preserve">initially signed for a </w:t>
      </w:r>
      <w:r w:rsidR="00B87B30" w:rsidRPr="00B87B30">
        <w:rPr>
          <w:rFonts w:ascii="Aptos" w:hAnsi="Aptos"/>
          <w:lang w:val="en-GB"/>
        </w:rPr>
        <w:lastRenderedPageBreak/>
        <w:t xml:space="preserve">duration of </w:t>
      </w:r>
      <w:r w:rsidR="00B87B30" w:rsidRPr="00B87B30">
        <w:rPr>
          <w:rFonts w:ascii="Aptos" w:hAnsi="Aptos"/>
          <w:b/>
          <w:bCs/>
          <w:lang w:val="en-GB"/>
        </w:rPr>
        <w:t>two (02) years</w:t>
      </w:r>
      <w:r w:rsidR="00B87B30" w:rsidRPr="00B87B30">
        <w:rPr>
          <w:rFonts w:ascii="Aptos" w:hAnsi="Aptos"/>
          <w:lang w:val="en-GB"/>
        </w:rPr>
        <w:t xml:space="preserve">; thereafter, subject to satisfactory performance evaluation, the Agreement may be extended for an additional </w:t>
      </w:r>
      <w:r w:rsidR="00B87B30" w:rsidRPr="00B87B30">
        <w:rPr>
          <w:rFonts w:ascii="Aptos" w:hAnsi="Aptos"/>
          <w:b/>
          <w:bCs/>
          <w:lang w:val="en-GB"/>
        </w:rPr>
        <w:t>one (01) year)</w:t>
      </w:r>
      <w:r w:rsidRPr="00B87B30">
        <w:rPr>
          <w:rFonts w:ascii="Aptos" w:hAnsi="Aptos" w:cstheme="minorHAnsi"/>
          <w:spacing w:val="-2"/>
        </w:rPr>
        <w:t xml:space="preserve">. After a competitive procurement process, </w:t>
      </w:r>
      <w:r w:rsidRPr="00B87B30">
        <w:rPr>
          <w:rFonts w:ascii="Aptos" w:hAnsi="Aptos" w:cstheme="minorHAnsi"/>
        </w:rPr>
        <w:t xml:space="preserve">one or several </w:t>
      </w:r>
      <w:r w:rsidR="001101C0" w:rsidRPr="00B87B30">
        <w:rPr>
          <w:rFonts w:ascii="Aptos" w:hAnsi="Aptos" w:cstheme="minorHAnsi"/>
        </w:rPr>
        <w:t xml:space="preserve">MEAL </w:t>
      </w:r>
      <w:r w:rsidRPr="00B87B30">
        <w:rPr>
          <w:rFonts w:ascii="Aptos" w:hAnsi="Aptos" w:cstheme="minorHAnsi"/>
        </w:rPr>
        <w:t>consultant</w:t>
      </w:r>
      <w:r w:rsidR="001101C0" w:rsidRPr="00B87B30">
        <w:rPr>
          <w:rFonts w:ascii="Aptos" w:hAnsi="Aptos" w:cstheme="minorHAnsi"/>
        </w:rPr>
        <w:t>cy firms</w:t>
      </w:r>
      <w:r w:rsidRPr="00B87B30">
        <w:rPr>
          <w:rFonts w:ascii="Aptos" w:hAnsi="Aptos" w:cstheme="minorHAnsi"/>
        </w:rPr>
        <w:t xml:space="preserve"> will be recruited to the Framework Agreement under a generic </w:t>
      </w:r>
      <w:r w:rsidRPr="00B87B30">
        <w:rPr>
          <w:rFonts w:ascii="Aptos" w:hAnsi="Aptos" w:cstheme="minorHAnsi"/>
          <w:i/>
        </w:rPr>
        <w:t>Terms of Reference</w:t>
      </w:r>
      <w:r w:rsidRPr="00B87B30">
        <w:rPr>
          <w:rFonts w:ascii="Aptos" w:hAnsi="Aptos" w:cstheme="minorHAnsi"/>
          <w:i/>
          <w:spacing w:val="-6"/>
        </w:rPr>
        <w:t xml:space="preserve"> </w:t>
      </w:r>
      <w:r w:rsidRPr="00B87B30">
        <w:rPr>
          <w:rFonts w:ascii="Aptos" w:hAnsi="Aptos" w:cstheme="minorHAnsi"/>
        </w:rPr>
        <w:t>(See</w:t>
      </w:r>
      <w:r w:rsidRPr="00B87B30">
        <w:rPr>
          <w:rFonts w:ascii="Aptos" w:hAnsi="Aptos" w:cstheme="minorHAnsi"/>
          <w:spacing w:val="-6"/>
        </w:rPr>
        <w:t xml:space="preserve"> </w:t>
      </w:r>
      <w:r w:rsidRPr="00B87B30">
        <w:rPr>
          <w:rFonts w:ascii="Aptos" w:hAnsi="Aptos" w:cstheme="minorHAnsi"/>
        </w:rPr>
        <w:t>below</w:t>
      </w:r>
      <w:r w:rsidRPr="00B87B30">
        <w:rPr>
          <w:rFonts w:ascii="Aptos" w:hAnsi="Aptos" w:cstheme="minorHAnsi"/>
          <w:spacing w:val="-6"/>
        </w:rPr>
        <w:t xml:space="preserve"> </w:t>
      </w:r>
      <w:r w:rsidRPr="00B87B30">
        <w:rPr>
          <w:rFonts w:ascii="Aptos" w:hAnsi="Aptos" w:cstheme="minorHAnsi"/>
        </w:rPr>
        <w:t>TOR)</w:t>
      </w:r>
      <w:r w:rsidRPr="00B87B30">
        <w:rPr>
          <w:rFonts w:ascii="Aptos" w:hAnsi="Aptos" w:cstheme="minorHAnsi"/>
          <w:spacing w:val="-9"/>
        </w:rPr>
        <w:t xml:space="preserve"> </w:t>
      </w:r>
      <w:r w:rsidRPr="00B87B30">
        <w:rPr>
          <w:rFonts w:ascii="Aptos" w:hAnsi="Aptos" w:cstheme="minorHAnsi"/>
        </w:rPr>
        <w:t>that</w:t>
      </w:r>
      <w:r w:rsidRPr="00B87B30">
        <w:rPr>
          <w:rFonts w:ascii="Aptos" w:hAnsi="Aptos" w:cstheme="minorHAnsi"/>
          <w:spacing w:val="-4"/>
        </w:rPr>
        <w:t xml:space="preserve"> </w:t>
      </w:r>
      <w:r w:rsidRPr="00B87B30">
        <w:rPr>
          <w:rFonts w:ascii="Aptos" w:hAnsi="Aptos" w:cstheme="minorHAnsi"/>
        </w:rPr>
        <w:t>broadly</w:t>
      </w:r>
      <w:r w:rsidRPr="00B87B30">
        <w:rPr>
          <w:rFonts w:ascii="Aptos" w:hAnsi="Aptos" w:cstheme="minorHAnsi"/>
          <w:spacing w:val="-6"/>
        </w:rPr>
        <w:t xml:space="preserve"> </w:t>
      </w:r>
      <w:r w:rsidRPr="00B87B30">
        <w:rPr>
          <w:rFonts w:ascii="Aptos" w:hAnsi="Aptos" w:cstheme="minorHAnsi"/>
        </w:rPr>
        <w:t>define</w:t>
      </w:r>
      <w:r w:rsidRPr="00B87B30">
        <w:rPr>
          <w:rFonts w:ascii="Aptos" w:hAnsi="Aptos" w:cstheme="minorHAnsi"/>
          <w:spacing w:val="-6"/>
        </w:rPr>
        <w:t xml:space="preserve"> </w:t>
      </w:r>
      <w:r w:rsidRPr="00B87B30">
        <w:rPr>
          <w:rFonts w:ascii="Aptos" w:hAnsi="Aptos" w:cstheme="minorHAnsi"/>
        </w:rPr>
        <w:t>the</w:t>
      </w:r>
      <w:r w:rsidRPr="00B87B30">
        <w:rPr>
          <w:rFonts w:ascii="Aptos" w:hAnsi="Aptos" w:cstheme="minorHAnsi"/>
          <w:spacing w:val="-4"/>
        </w:rPr>
        <w:t xml:space="preserve"> </w:t>
      </w:r>
      <w:r w:rsidRPr="00B87B30">
        <w:rPr>
          <w:rFonts w:ascii="Aptos" w:hAnsi="Aptos" w:cstheme="minorHAnsi"/>
        </w:rPr>
        <w:t>nature</w:t>
      </w:r>
      <w:r w:rsidRPr="00B87B30">
        <w:rPr>
          <w:rFonts w:ascii="Aptos" w:hAnsi="Aptos" w:cstheme="minorHAnsi"/>
          <w:spacing w:val="-4"/>
        </w:rPr>
        <w:t xml:space="preserve"> </w:t>
      </w:r>
      <w:r w:rsidRPr="00B87B30">
        <w:rPr>
          <w:rFonts w:ascii="Aptos" w:hAnsi="Aptos" w:cstheme="minorHAnsi"/>
        </w:rPr>
        <w:t>and</w:t>
      </w:r>
      <w:r w:rsidRPr="00B87B30">
        <w:rPr>
          <w:rFonts w:ascii="Aptos" w:hAnsi="Aptos" w:cstheme="minorHAnsi"/>
          <w:spacing w:val="-7"/>
        </w:rPr>
        <w:t xml:space="preserve"> </w:t>
      </w:r>
      <w:r w:rsidRPr="00B87B30">
        <w:rPr>
          <w:rFonts w:ascii="Aptos" w:hAnsi="Aptos" w:cstheme="minorHAnsi"/>
        </w:rPr>
        <w:t>scope</w:t>
      </w:r>
      <w:r w:rsidRPr="00B87B30">
        <w:rPr>
          <w:rFonts w:ascii="Aptos" w:hAnsi="Aptos" w:cstheme="minorHAnsi"/>
          <w:spacing w:val="-6"/>
        </w:rPr>
        <w:t xml:space="preserve"> </w:t>
      </w:r>
      <w:r w:rsidRPr="00B87B30">
        <w:rPr>
          <w:rFonts w:ascii="Aptos" w:hAnsi="Aptos" w:cstheme="minorHAnsi"/>
        </w:rPr>
        <w:t>of</w:t>
      </w:r>
      <w:r w:rsidRPr="00B87B30">
        <w:rPr>
          <w:rFonts w:ascii="Aptos" w:hAnsi="Aptos" w:cstheme="minorHAnsi"/>
          <w:spacing w:val="-7"/>
        </w:rPr>
        <w:t xml:space="preserve"> </w:t>
      </w:r>
      <w:r w:rsidRPr="00B87B30">
        <w:rPr>
          <w:rFonts w:ascii="Aptos" w:hAnsi="Aptos" w:cstheme="minorHAnsi"/>
        </w:rPr>
        <w:t>services</w:t>
      </w:r>
      <w:r w:rsidRPr="00B87B30">
        <w:rPr>
          <w:rFonts w:ascii="Aptos" w:hAnsi="Aptos" w:cstheme="minorHAnsi"/>
          <w:spacing w:val="-4"/>
        </w:rPr>
        <w:t xml:space="preserve"> </w:t>
      </w:r>
      <w:r w:rsidRPr="00B87B30">
        <w:rPr>
          <w:rFonts w:ascii="Aptos" w:hAnsi="Aptos" w:cstheme="minorHAnsi"/>
        </w:rPr>
        <w:t>required</w:t>
      </w:r>
      <w:r w:rsidRPr="00B87B30">
        <w:rPr>
          <w:rFonts w:ascii="Aptos" w:hAnsi="Aptos" w:cstheme="minorHAnsi"/>
          <w:spacing w:val="-5"/>
        </w:rPr>
        <w:t xml:space="preserve"> </w:t>
      </w:r>
      <w:r w:rsidRPr="00B87B30">
        <w:rPr>
          <w:rFonts w:ascii="Aptos" w:hAnsi="Aptos" w:cstheme="minorHAnsi"/>
        </w:rPr>
        <w:t>for</w:t>
      </w:r>
      <w:r w:rsidRPr="00B87B30">
        <w:rPr>
          <w:rFonts w:ascii="Aptos" w:hAnsi="Aptos" w:cstheme="minorHAnsi"/>
          <w:spacing w:val="-7"/>
        </w:rPr>
        <w:t xml:space="preserve"> </w:t>
      </w:r>
      <w:r w:rsidRPr="00B87B30">
        <w:rPr>
          <w:rFonts w:ascii="Aptos" w:hAnsi="Aptos" w:cstheme="minorHAnsi"/>
        </w:rPr>
        <w:t>the</w:t>
      </w:r>
      <w:r w:rsidRPr="00B87B30">
        <w:rPr>
          <w:rFonts w:ascii="Aptos" w:hAnsi="Aptos" w:cstheme="minorHAnsi"/>
          <w:spacing w:val="-6"/>
        </w:rPr>
        <w:t xml:space="preserve"> </w:t>
      </w:r>
      <w:r w:rsidRPr="00B87B30">
        <w:rPr>
          <w:rFonts w:ascii="Aptos" w:hAnsi="Aptos" w:cstheme="minorHAnsi"/>
        </w:rPr>
        <w:t>duration of</w:t>
      </w:r>
      <w:r w:rsidRPr="00B87B30">
        <w:rPr>
          <w:rFonts w:ascii="Aptos" w:hAnsi="Aptos" w:cstheme="minorHAnsi"/>
          <w:spacing w:val="-7"/>
        </w:rPr>
        <w:t xml:space="preserve"> </w:t>
      </w:r>
      <w:r w:rsidRPr="00B87B30">
        <w:rPr>
          <w:rFonts w:ascii="Aptos" w:hAnsi="Aptos" w:cstheme="minorHAnsi"/>
        </w:rPr>
        <w:t>the</w:t>
      </w:r>
      <w:r w:rsidRPr="00B87B30">
        <w:rPr>
          <w:rFonts w:ascii="Aptos" w:hAnsi="Aptos" w:cstheme="minorHAnsi"/>
          <w:spacing w:val="-9"/>
        </w:rPr>
        <w:t xml:space="preserve"> </w:t>
      </w:r>
      <w:r w:rsidR="001101C0" w:rsidRPr="00B87B30">
        <w:rPr>
          <w:rFonts w:ascii="Aptos" w:hAnsi="Aptos" w:cstheme="minorHAnsi"/>
          <w:i/>
        </w:rPr>
        <w:t xml:space="preserve">Consultantcy </w:t>
      </w:r>
      <w:r w:rsidRPr="00B87B30">
        <w:rPr>
          <w:rFonts w:ascii="Aptos" w:hAnsi="Aptos" w:cstheme="minorHAnsi"/>
          <w:i/>
        </w:rPr>
        <w:t>Framework</w:t>
      </w:r>
      <w:r w:rsidRPr="00B87B30">
        <w:rPr>
          <w:rFonts w:ascii="Aptos" w:hAnsi="Aptos" w:cstheme="minorHAnsi"/>
          <w:i/>
          <w:spacing w:val="-5"/>
        </w:rPr>
        <w:t xml:space="preserve"> </w:t>
      </w:r>
      <w:r w:rsidRPr="00B87B30">
        <w:rPr>
          <w:rFonts w:ascii="Aptos" w:hAnsi="Aptos" w:cstheme="minorHAnsi"/>
          <w:i/>
        </w:rPr>
        <w:t>Agreement</w:t>
      </w:r>
      <w:r w:rsidRPr="00B87B30">
        <w:rPr>
          <w:rFonts w:ascii="Aptos" w:hAnsi="Aptos" w:cstheme="minorHAnsi"/>
        </w:rPr>
        <w:t>.</w:t>
      </w:r>
    </w:p>
    <w:p w14:paraId="4773D57B" w14:textId="7D8DDE8F" w:rsidR="00D23B04" w:rsidRPr="00B87B30" w:rsidRDefault="00D23B04" w:rsidP="00CB14FD">
      <w:pPr>
        <w:pStyle w:val="ListParagraph"/>
        <w:numPr>
          <w:ilvl w:val="0"/>
          <w:numId w:val="6"/>
        </w:numPr>
        <w:spacing w:before="120" w:after="120"/>
        <w:rPr>
          <w:rFonts w:ascii="Aptos" w:eastAsia="Arial" w:hAnsi="Aptos"/>
          <w:b/>
          <w:bCs/>
          <w:color w:val="E36C0A" w:themeColor="accent6" w:themeShade="BF"/>
        </w:rPr>
      </w:pPr>
      <w:r w:rsidRPr="00B87B30">
        <w:rPr>
          <w:rFonts w:ascii="Aptos" w:eastAsiaTheme="minorHAnsi" w:hAnsi="Aptos" w:cstheme="minorHAnsi"/>
          <w:b/>
          <w:bCs/>
          <w:color w:val="E36C0A" w:themeColor="accent6" w:themeShade="BF"/>
          <w:sz w:val="24"/>
          <w:szCs w:val="24"/>
        </w:rPr>
        <w:t>Role and Responsibilities</w:t>
      </w:r>
      <w:r w:rsidR="00CB14FD" w:rsidRPr="00B87B30">
        <w:rPr>
          <w:rFonts w:ascii="Aptos" w:eastAsiaTheme="minorHAnsi" w:hAnsi="Aptos" w:cstheme="minorHAnsi"/>
          <w:b/>
          <w:bCs/>
          <w:color w:val="E36C0A" w:themeColor="accent6" w:themeShade="BF"/>
          <w:sz w:val="24"/>
          <w:szCs w:val="24"/>
        </w:rPr>
        <w:t xml:space="preserve"> </w:t>
      </w:r>
      <w:r w:rsidRPr="00B87B30">
        <w:rPr>
          <w:rFonts w:ascii="Aptos" w:eastAsia="Arial" w:hAnsi="Aptos"/>
          <w:b/>
          <w:bCs/>
          <w:color w:val="E36C0A" w:themeColor="accent6" w:themeShade="BF"/>
          <w:sz w:val="24"/>
          <w:szCs w:val="24"/>
        </w:rPr>
        <w:t>of consultancy firms</w:t>
      </w:r>
    </w:p>
    <w:p w14:paraId="61FB08E8" w14:textId="5BD3E98D" w:rsidR="002B22BF" w:rsidRPr="00B87B30" w:rsidRDefault="00D23B04" w:rsidP="00DB55E9">
      <w:pPr>
        <w:spacing w:before="120" w:after="120"/>
        <w:jc w:val="both"/>
        <w:rPr>
          <w:rFonts w:ascii="Aptos" w:eastAsia="Arial" w:hAnsi="Aptos"/>
        </w:rPr>
      </w:pPr>
      <w:r w:rsidRPr="00B87B30">
        <w:rPr>
          <w:rFonts w:ascii="Aptos" w:eastAsia="Arial" w:hAnsi="Aptos"/>
        </w:rPr>
        <w:t xml:space="preserve">Consultancy firms are expected to provide assignment-specific technical support, specialized expertise, and additional capacity as requested by CARE. </w:t>
      </w:r>
      <w:r w:rsidR="002B22BF" w:rsidRPr="00B87B30">
        <w:rPr>
          <w:rFonts w:ascii="Aptos" w:eastAsia="Arial" w:hAnsi="Aptos"/>
        </w:rPr>
        <w:t>The consultancy firm(s) may be engaged to provide technical support to CARE Vietnam across one or more MEAL-related assignments under the Consultancy Framework Agreement. Specific tasks, timelines, deliverables, level of effort, and reporting arrangements will be defined in individual assignment requests or task orders.</w:t>
      </w:r>
    </w:p>
    <w:p w14:paraId="76918EF5" w14:textId="77777777" w:rsidR="002B22BF" w:rsidRPr="00B87B30" w:rsidRDefault="002B22BF" w:rsidP="00DB55E9">
      <w:pPr>
        <w:spacing w:before="120" w:after="120"/>
        <w:jc w:val="both"/>
        <w:rPr>
          <w:rFonts w:ascii="Aptos" w:eastAsia="Arial" w:hAnsi="Aptos"/>
        </w:rPr>
      </w:pPr>
      <w:r w:rsidRPr="00B87B30">
        <w:rPr>
          <w:rFonts w:ascii="Aptos" w:eastAsia="Arial" w:hAnsi="Aptos"/>
        </w:rPr>
        <w:t>The expected roles and responsibilities may include, but are not limited to, the following:</w:t>
      </w:r>
    </w:p>
    <w:p w14:paraId="492655AC" w14:textId="09C77D7E" w:rsidR="002B22BF" w:rsidRPr="00B87B30" w:rsidRDefault="002B22BF" w:rsidP="00DB55E9">
      <w:pPr>
        <w:pStyle w:val="Heading2"/>
        <w:shd w:val="clear" w:color="auto" w:fill="FABF8F" w:themeFill="accent6" w:themeFillTint="99"/>
        <w:spacing w:before="120" w:after="120"/>
        <w:jc w:val="both"/>
        <w:rPr>
          <w:rFonts w:ascii="Aptos" w:hAnsi="Aptos"/>
        </w:rPr>
      </w:pPr>
      <w:r w:rsidRPr="00B87B30">
        <w:rPr>
          <w:rFonts w:ascii="Aptos" w:eastAsia="Arial" w:hAnsi="Aptos" w:cs="Calibri"/>
          <w:b/>
          <w:bCs/>
          <w:color w:val="auto"/>
          <w:sz w:val="22"/>
          <w:szCs w:val="22"/>
        </w:rPr>
        <w:t>MEAL capacity strengthening</w:t>
      </w:r>
    </w:p>
    <w:p w14:paraId="5EB18D4F"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Support the CARE MEAL Advisor in designing and delivering capacity-building activities on MEAL topics for CARE staff, partner organizations, and relevant stakeholders.</w:t>
      </w:r>
    </w:p>
    <w:p w14:paraId="5C870A21"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Review capacity-building needs and develop training/workshop agendas, facilitation plans, materials, handouts, exercises, and pre-/post-training assessment tools.</w:t>
      </w:r>
    </w:p>
    <w:p w14:paraId="439C8C8C"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Co-facilitate or facilitate MEAL training sessions, reflection workshops, learning events, and technical coaching sessions.</w:t>
      </w:r>
    </w:p>
    <w:p w14:paraId="1AADE380" w14:textId="0DC05EA9" w:rsidR="002B22BF" w:rsidRPr="00B87B30" w:rsidRDefault="002B22BF" w:rsidP="00DB55E9">
      <w:pPr>
        <w:spacing w:before="120" w:after="120"/>
        <w:jc w:val="both"/>
        <w:rPr>
          <w:rFonts w:ascii="Aptos" w:hAnsi="Aptos"/>
        </w:rPr>
      </w:pPr>
      <w:r w:rsidRPr="00B87B30">
        <w:rPr>
          <w:rFonts w:ascii="Aptos" w:eastAsia="Arial" w:hAnsi="Aptos"/>
          <w:b/>
        </w:rPr>
        <w:t xml:space="preserve">Indicative deliverables: </w:t>
      </w:r>
      <w:r w:rsidRPr="00B87B30">
        <w:rPr>
          <w:rFonts w:ascii="Aptos" w:eastAsia="Arial" w:hAnsi="Aptos"/>
        </w:rPr>
        <w:t>training agenda, facilitation plan, training materials, pre-/post-test tools, workshop report, coaching notes.</w:t>
      </w:r>
    </w:p>
    <w:p w14:paraId="1BFD73E1" w14:textId="1FBC291F" w:rsidR="002B22BF" w:rsidRPr="00B87B30" w:rsidRDefault="002B22BF" w:rsidP="00DB55E9">
      <w:pPr>
        <w:shd w:val="clear" w:color="auto" w:fill="FABF8F" w:themeFill="accent6" w:themeFillTint="99"/>
        <w:spacing w:before="120" w:after="120"/>
        <w:jc w:val="both"/>
        <w:rPr>
          <w:rFonts w:ascii="Aptos" w:eastAsia="Arial" w:hAnsi="Aptos"/>
          <w:b/>
          <w:bCs/>
        </w:rPr>
      </w:pPr>
      <w:r w:rsidRPr="00B87B30">
        <w:rPr>
          <w:rFonts w:ascii="Aptos" w:eastAsia="Arial" w:hAnsi="Aptos"/>
          <w:b/>
          <w:bCs/>
        </w:rPr>
        <w:t>Monitoring support</w:t>
      </w:r>
    </w:p>
    <w:p w14:paraId="7DB5C146" w14:textId="09E76954"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Conduct field monitoring visits or remote monitoring for selected priority projects as specifically requested, applying monitoring and evaluation approaches in accordance with CARE Global and CARE Vietnam standards, including participatory monitoring, remote monitoring, conflict-sensitive monitoring, gender-sensitive monitoring, and adaptive monitoring where relevant.</w:t>
      </w:r>
    </w:p>
    <w:p w14:paraId="4F92C003"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Prepare concise monitoring reports with practical recommendations for project teams and management.</w:t>
      </w:r>
    </w:p>
    <w:p w14:paraId="1054FA16" w14:textId="77777777" w:rsidR="002B22BF" w:rsidRPr="00B87B30" w:rsidRDefault="002B22BF" w:rsidP="00DB55E9">
      <w:pPr>
        <w:spacing w:before="120" w:after="120"/>
        <w:jc w:val="both"/>
        <w:rPr>
          <w:rFonts w:ascii="Aptos" w:eastAsia="Arial" w:hAnsi="Aptos"/>
        </w:rPr>
      </w:pPr>
      <w:r w:rsidRPr="00B87B30">
        <w:rPr>
          <w:rFonts w:ascii="Aptos" w:eastAsia="Arial" w:hAnsi="Aptos"/>
          <w:b/>
        </w:rPr>
        <w:t xml:space="preserve">Indicative deliverables: </w:t>
      </w:r>
      <w:r w:rsidRPr="00B87B30">
        <w:rPr>
          <w:rFonts w:ascii="Aptos" w:eastAsia="Arial" w:hAnsi="Aptos"/>
        </w:rPr>
        <w:t>monitoring plan, monitoring tools/checklists, field monitoring report, remote monitoring summary, action-oriented recommendations.</w:t>
      </w:r>
    </w:p>
    <w:p w14:paraId="7AB5F316" w14:textId="270AE7A6" w:rsidR="002B22BF" w:rsidRPr="00B87B30" w:rsidRDefault="002B22BF" w:rsidP="00DB55E9">
      <w:pPr>
        <w:shd w:val="clear" w:color="auto" w:fill="FABF8F" w:themeFill="accent6" w:themeFillTint="99"/>
        <w:spacing w:before="120" w:after="120"/>
        <w:jc w:val="both"/>
        <w:rPr>
          <w:rFonts w:ascii="Aptos" w:hAnsi="Aptos"/>
          <w:b/>
          <w:bCs/>
        </w:rPr>
      </w:pPr>
      <w:r w:rsidRPr="00B87B30">
        <w:rPr>
          <w:rFonts w:ascii="Aptos" w:eastAsia="Arial" w:hAnsi="Aptos"/>
          <w:b/>
          <w:bCs/>
        </w:rPr>
        <w:t>Evaluation, studies, assessments, and research support</w:t>
      </w:r>
    </w:p>
    <w:p w14:paraId="313B8B7A"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Support or lead project evaluations, baseline studies, mid-term reviews, endline studies, outcome assessments, impact assessments, thematic studies, and learning reviews, based on CARE’s annual planning and project needs.</w:t>
      </w:r>
    </w:p>
    <w:p w14:paraId="5462A428"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Discuss and agree with the CARE MEAL Advisor and relevant project team on the TOR, methodology, study design/protocol, sampling approach, workplan, data collection tools, and ethical considerations.</w:t>
      </w:r>
    </w:p>
    <w:p w14:paraId="67406E64"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Develop inception reports, evaluation matrices, data collection tools, consent forms, fieldwork plans, and quality assurance procedures.</w:t>
      </w:r>
    </w:p>
    <w:p w14:paraId="2DD7E6B1"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Conduct quantitative and qualitative data collection, ensuring data quality, ethical practice, informed consent, confidentiality, and safeguarding standards.</w:t>
      </w:r>
    </w:p>
    <w:p w14:paraId="4EB9F183"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Present preliminary findings to CARE and relevant stakeholders for validation and learning.</w:t>
      </w:r>
    </w:p>
    <w:p w14:paraId="4E7306EE" w14:textId="77777777" w:rsidR="002B22BF" w:rsidRPr="00B87B30" w:rsidRDefault="002B22BF" w:rsidP="00DB55E9">
      <w:pPr>
        <w:spacing w:before="120" w:after="120"/>
        <w:jc w:val="both"/>
        <w:rPr>
          <w:rFonts w:ascii="Aptos" w:eastAsia="Arial" w:hAnsi="Aptos"/>
        </w:rPr>
      </w:pPr>
      <w:r w:rsidRPr="00B87B30">
        <w:rPr>
          <w:rFonts w:ascii="Aptos" w:eastAsia="Arial" w:hAnsi="Aptos"/>
          <w:b/>
        </w:rPr>
        <w:t xml:space="preserve">Indicative deliverables: </w:t>
      </w:r>
      <w:r w:rsidRPr="00B87B30">
        <w:rPr>
          <w:rFonts w:ascii="Aptos" w:eastAsia="Arial" w:hAnsi="Aptos"/>
        </w:rPr>
        <w:t>inception report, evaluation/study design, evaluation matrix, sampling plan, data collection tools, consent forms, fieldwork plan, cleaned datasets, preliminary findings presentation, validation workshop materials, final report.</w:t>
      </w:r>
    </w:p>
    <w:p w14:paraId="2DDDB839" w14:textId="281DE64B" w:rsidR="002B22BF" w:rsidRPr="00B87B30" w:rsidRDefault="002B22BF" w:rsidP="00DB55E9">
      <w:pPr>
        <w:pStyle w:val="Heading2"/>
        <w:shd w:val="clear" w:color="auto" w:fill="FABF8F" w:themeFill="accent6" w:themeFillTint="99"/>
        <w:spacing w:before="120" w:after="120"/>
        <w:jc w:val="both"/>
        <w:rPr>
          <w:rFonts w:ascii="Aptos" w:eastAsia="Arial" w:hAnsi="Aptos" w:cs="Calibri"/>
          <w:b/>
          <w:bCs/>
          <w:color w:val="auto"/>
          <w:sz w:val="22"/>
          <w:szCs w:val="22"/>
        </w:rPr>
      </w:pPr>
      <w:r w:rsidRPr="00B87B30">
        <w:rPr>
          <w:rFonts w:ascii="Aptos" w:eastAsia="Arial" w:hAnsi="Aptos" w:cs="Calibri"/>
          <w:b/>
          <w:bCs/>
          <w:color w:val="auto"/>
          <w:sz w:val="22"/>
          <w:szCs w:val="22"/>
        </w:rPr>
        <w:lastRenderedPageBreak/>
        <w:t>Data collection, data quality assurance, and data analysis</w:t>
      </w:r>
    </w:p>
    <w:p w14:paraId="2DF11B6E"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Develop data analysis plans and conduct quantitative, qualitative, or mixed-methods data analysis to support monitoring, evaluation, accountability, and learning activities.</w:t>
      </w:r>
    </w:p>
    <w:p w14:paraId="15B611B2"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Clean, code, process, analyze, and interpret data collected through surveys, interviews, focus group discussions, observation, secondary data review, and digital monitoring systems.</w:t>
      </w:r>
    </w:p>
    <w:p w14:paraId="04D19F20"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Apply appropriate statistical, thematic, comparative, gender-sensitive, and disaggregated analysis methods.</w:t>
      </w:r>
    </w:p>
    <w:p w14:paraId="78D250B5"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Ensure that analysis is accurate, evidence-based, and clearly linked to project indicators, evaluation questions, learning questions, and donor reporting requirements.</w:t>
      </w:r>
    </w:p>
    <w:p w14:paraId="376F37E6"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Prepare user-friendly data visualizations, dashboards, analytical summaries, and presentations.</w:t>
      </w:r>
    </w:p>
    <w:p w14:paraId="40C04E0B" w14:textId="77777777" w:rsidR="002B22BF" w:rsidRPr="00B87B30" w:rsidRDefault="002B22BF" w:rsidP="00DB55E9">
      <w:pPr>
        <w:spacing w:before="120" w:after="120"/>
        <w:jc w:val="both"/>
        <w:rPr>
          <w:rFonts w:ascii="Aptos" w:eastAsia="Arial" w:hAnsi="Aptos"/>
        </w:rPr>
      </w:pPr>
      <w:r w:rsidRPr="00B87B30">
        <w:rPr>
          <w:rFonts w:ascii="Aptos" w:eastAsia="Arial" w:hAnsi="Aptos"/>
          <w:b/>
        </w:rPr>
        <w:t xml:space="preserve">Indicative deliverables: </w:t>
      </w:r>
      <w:r w:rsidRPr="00B87B30">
        <w:rPr>
          <w:rFonts w:ascii="Aptos" w:eastAsia="Arial" w:hAnsi="Aptos"/>
        </w:rPr>
        <w:t>data analysis plan, cleaned dataset, codebook, data quality checklist, analysis outputs, data visualization products, analytical brief, findings presentation.</w:t>
      </w:r>
    </w:p>
    <w:p w14:paraId="2C7ECD85" w14:textId="5DD934F5" w:rsidR="002B22BF" w:rsidRPr="00B87B30" w:rsidRDefault="002B22BF" w:rsidP="00DB55E9">
      <w:pPr>
        <w:pStyle w:val="Heading2"/>
        <w:shd w:val="clear" w:color="auto" w:fill="FABF8F" w:themeFill="accent6" w:themeFillTint="99"/>
        <w:spacing w:before="120" w:after="120"/>
        <w:jc w:val="both"/>
        <w:rPr>
          <w:rFonts w:ascii="Aptos" w:hAnsi="Aptos"/>
        </w:rPr>
      </w:pPr>
      <w:r w:rsidRPr="00B87B30">
        <w:rPr>
          <w:rFonts w:ascii="Aptos" w:eastAsia="Arial" w:hAnsi="Aptos" w:cs="Calibri"/>
          <w:b/>
          <w:bCs/>
          <w:color w:val="auto"/>
          <w:sz w:val="22"/>
          <w:szCs w:val="22"/>
        </w:rPr>
        <w:t>MEAL</w:t>
      </w:r>
      <w:r w:rsidR="00043700" w:rsidRPr="00B87B30">
        <w:rPr>
          <w:rFonts w:ascii="Aptos" w:eastAsia="Arial" w:hAnsi="Aptos" w:cs="Calibri"/>
          <w:b/>
          <w:bCs/>
          <w:color w:val="auto"/>
          <w:sz w:val="22"/>
          <w:szCs w:val="22"/>
        </w:rPr>
        <w:t xml:space="preserve"> database</w:t>
      </w:r>
      <w:r w:rsidRPr="00B87B30">
        <w:rPr>
          <w:rFonts w:ascii="Aptos" w:eastAsia="Arial" w:hAnsi="Aptos" w:cs="Calibri"/>
          <w:b/>
          <w:bCs/>
          <w:color w:val="auto"/>
          <w:sz w:val="22"/>
          <w:szCs w:val="22"/>
        </w:rPr>
        <w:t xml:space="preserve"> systems, ICT tools</w:t>
      </w:r>
      <w:r w:rsidR="00043700" w:rsidRPr="00B87B30">
        <w:rPr>
          <w:rFonts w:ascii="Aptos" w:eastAsia="Arial" w:hAnsi="Aptos" w:cs="Calibri"/>
          <w:b/>
          <w:bCs/>
          <w:color w:val="auto"/>
          <w:sz w:val="22"/>
          <w:szCs w:val="22"/>
        </w:rPr>
        <w:t xml:space="preserve"> a</w:t>
      </w:r>
      <w:r w:rsidRPr="00B87B30">
        <w:rPr>
          <w:rFonts w:ascii="Aptos" w:eastAsia="Arial" w:hAnsi="Aptos" w:cs="Calibri"/>
          <w:b/>
          <w:bCs/>
          <w:color w:val="auto"/>
          <w:sz w:val="22"/>
          <w:szCs w:val="22"/>
        </w:rPr>
        <w:t>nd responsible data management</w:t>
      </w:r>
    </w:p>
    <w:p w14:paraId="179F32C6" w14:textId="1BC7ACEA" w:rsidR="002B22BF" w:rsidRPr="00B87B30" w:rsidRDefault="00043700"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Re</w:t>
      </w:r>
      <w:r w:rsidR="002B22BF" w:rsidRPr="00B87B30">
        <w:rPr>
          <w:rFonts w:ascii="Aptos" w:hAnsi="Aptos"/>
        </w:rPr>
        <w:t>view</w:t>
      </w:r>
      <w:r w:rsidRPr="00B87B30">
        <w:rPr>
          <w:rFonts w:ascii="Aptos" w:hAnsi="Aptos"/>
        </w:rPr>
        <w:t xml:space="preserve"> data </w:t>
      </w:r>
      <w:r w:rsidR="002B22BF" w:rsidRPr="00B87B30">
        <w:rPr>
          <w:rFonts w:ascii="Aptos" w:hAnsi="Aptos"/>
        </w:rPr>
        <w:t xml:space="preserve">of MEAL </w:t>
      </w:r>
      <w:r w:rsidRPr="00B87B30">
        <w:rPr>
          <w:rFonts w:ascii="Aptos" w:hAnsi="Aptos"/>
        </w:rPr>
        <w:t xml:space="preserve">database </w:t>
      </w:r>
      <w:r w:rsidR="002B22BF" w:rsidRPr="00B87B30">
        <w:rPr>
          <w:rFonts w:ascii="Aptos" w:hAnsi="Aptos"/>
        </w:rPr>
        <w:t>systems</w:t>
      </w:r>
      <w:r w:rsidRPr="00B87B30">
        <w:rPr>
          <w:rFonts w:ascii="Aptos" w:hAnsi="Aptos"/>
        </w:rPr>
        <w:t xml:space="preserve"> to ensure the quality of data recorded</w:t>
      </w:r>
      <w:r w:rsidR="002B22BF" w:rsidRPr="00B87B30">
        <w:rPr>
          <w:rFonts w:ascii="Aptos" w:hAnsi="Aptos"/>
        </w:rPr>
        <w:t>.</w:t>
      </w:r>
    </w:p>
    <w:p w14:paraId="516B8608" w14:textId="474D86AC"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Develop digital tools for MEAL, including but not limited to Kobo, ODK, CommCare, Power BI</w:t>
      </w:r>
      <w:r w:rsidR="00043700" w:rsidRPr="00B87B30">
        <w:rPr>
          <w:rFonts w:ascii="Aptos" w:hAnsi="Aptos"/>
        </w:rPr>
        <w:t xml:space="preserve"> </w:t>
      </w:r>
      <w:r w:rsidRPr="00B87B30">
        <w:rPr>
          <w:rFonts w:ascii="Aptos" w:hAnsi="Aptos"/>
        </w:rPr>
        <w:t>or other relevant platforms.</w:t>
      </w:r>
    </w:p>
    <w:p w14:paraId="2501D246" w14:textId="77777777" w:rsidR="002B22BF" w:rsidRPr="00B87B30" w:rsidRDefault="002B22BF" w:rsidP="00DB55E9">
      <w:pPr>
        <w:pStyle w:val="ListBullet"/>
        <w:tabs>
          <w:tab w:val="num" w:pos="360"/>
        </w:tabs>
        <w:spacing w:before="120" w:after="120" w:line="240" w:lineRule="auto"/>
        <w:ind w:left="360" w:hanging="360"/>
        <w:jc w:val="both"/>
        <w:rPr>
          <w:rFonts w:ascii="Aptos" w:hAnsi="Aptos"/>
        </w:rPr>
      </w:pPr>
      <w:r w:rsidRPr="00B87B30">
        <w:rPr>
          <w:rFonts w:ascii="Aptos" w:hAnsi="Aptos"/>
        </w:rPr>
        <w:t>Support data storage, data cleaning, data validation, data protection, anonymization, and secure data transfer in line with CARE’s responsible data management standards.</w:t>
      </w:r>
    </w:p>
    <w:p w14:paraId="1B113B0D" w14:textId="2DB27C10" w:rsidR="002B22BF" w:rsidRPr="00B87B30" w:rsidRDefault="002B22BF" w:rsidP="00DB55E9">
      <w:pPr>
        <w:spacing w:before="120" w:after="120"/>
        <w:jc w:val="both"/>
        <w:rPr>
          <w:rFonts w:ascii="Aptos" w:eastAsia="Arial" w:hAnsi="Aptos"/>
        </w:rPr>
      </w:pPr>
      <w:r w:rsidRPr="00B87B30">
        <w:rPr>
          <w:rFonts w:ascii="Aptos" w:eastAsia="Arial" w:hAnsi="Aptos"/>
          <w:b/>
        </w:rPr>
        <w:t xml:space="preserve">Indicative deliverables: </w:t>
      </w:r>
      <w:r w:rsidRPr="00B87B30">
        <w:rPr>
          <w:rFonts w:ascii="Aptos" w:eastAsia="Arial" w:hAnsi="Aptos"/>
        </w:rPr>
        <w:t>digital data collection forms, database templates, dashboards</w:t>
      </w:r>
      <w:r w:rsidR="00043700" w:rsidRPr="00B87B30">
        <w:rPr>
          <w:rFonts w:ascii="Aptos" w:eastAsia="Arial" w:hAnsi="Aptos"/>
        </w:rPr>
        <w:t xml:space="preserve"> and </w:t>
      </w:r>
      <w:r w:rsidRPr="00B87B30">
        <w:rPr>
          <w:rFonts w:ascii="Aptos" w:eastAsia="Arial" w:hAnsi="Aptos"/>
        </w:rPr>
        <w:t>indicator tracking tables, cleaned datasets, data quality assurance notes, responsible data management plan.</w:t>
      </w:r>
    </w:p>
    <w:p w14:paraId="441AF290" w14:textId="77777777" w:rsidR="00CB14FD" w:rsidRPr="00B87B30" w:rsidRDefault="00CB14FD" w:rsidP="00A91138">
      <w:pPr>
        <w:pStyle w:val="ListParagraph"/>
        <w:numPr>
          <w:ilvl w:val="0"/>
          <w:numId w:val="6"/>
        </w:numPr>
        <w:spacing w:before="120" w:after="120"/>
        <w:ind w:left="360"/>
        <w:rPr>
          <w:rFonts w:ascii="Aptos" w:eastAsia="Arial" w:hAnsi="Aptos"/>
          <w:b/>
          <w:bCs/>
          <w:color w:val="E36C0A" w:themeColor="accent6" w:themeShade="BF"/>
          <w:sz w:val="24"/>
          <w:szCs w:val="24"/>
        </w:rPr>
      </w:pPr>
      <w:r w:rsidRPr="00B87B30">
        <w:rPr>
          <w:rFonts w:ascii="Aptos" w:eastAsia="Arial" w:hAnsi="Aptos"/>
          <w:b/>
          <w:bCs/>
          <w:color w:val="E36C0A" w:themeColor="accent6" w:themeShade="BF"/>
          <w:sz w:val="24"/>
          <w:szCs w:val="24"/>
        </w:rPr>
        <w:t>Technical Coordination, Management, and Reporting Arrangements</w:t>
      </w:r>
    </w:p>
    <w:p w14:paraId="2469A79F" w14:textId="2B284CE7" w:rsidR="00D23B04" w:rsidRPr="00B87B30" w:rsidRDefault="00D23B04" w:rsidP="00D23B04">
      <w:pPr>
        <w:spacing w:before="120" w:after="120"/>
        <w:jc w:val="both"/>
        <w:rPr>
          <w:rFonts w:ascii="Aptos" w:eastAsia="Arial" w:hAnsi="Aptos"/>
        </w:rPr>
      </w:pPr>
      <w:r w:rsidRPr="00B87B30">
        <w:rPr>
          <w:rFonts w:ascii="Aptos" w:eastAsia="Arial" w:hAnsi="Aptos"/>
        </w:rPr>
        <w:t>The CARE MEAL Advisor will serve as the overall technical lead for assignments conducted under this Consultancy Framework Agreement. The CARE MEAL Advisor will be responsible for:</w:t>
      </w:r>
    </w:p>
    <w:p w14:paraId="04505409"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Defining technical requirements for specific assignments in coordination with relevant program/project teams; </w:t>
      </w:r>
    </w:p>
    <w:p w14:paraId="18B48582"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Providing methodological guidance and technical direction throughout the assignment process; </w:t>
      </w:r>
    </w:p>
    <w:p w14:paraId="60729475"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Reviewing and approving key technical deliverables, including inception reports, study designs, data collection tools, data analysis outputs, draft reports, final reports, and learning products; </w:t>
      </w:r>
    </w:p>
    <w:p w14:paraId="26B62A3E"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Ensuring that all MEAL assignments are aligned with CARE Global and CARE Vietnam MEAL standards, donor requirements, and project/program priorities; </w:t>
      </w:r>
    </w:p>
    <w:p w14:paraId="357F48EB"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Overseeing quality assurance, ethical compliance, safeguarding, conflict sensitivity, and responsible data management; </w:t>
      </w:r>
    </w:p>
    <w:p w14:paraId="6F1D2248"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Facilitating coordination between consultancy firms, CARE program/project teams, partners, and relevant stakeholders, where required; </w:t>
      </w:r>
    </w:p>
    <w:p w14:paraId="4BB905DD" w14:textId="77777777" w:rsidR="00D23B04" w:rsidRPr="00B87B30" w:rsidRDefault="00D23B04" w:rsidP="00D23B04">
      <w:pPr>
        <w:numPr>
          <w:ilvl w:val="0"/>
          <w:numId w:val="5"/>
        </w:numPr>
        <w:spacing w:before="120" w:after="120"/>
        <w:jc w:val="both"/>
        <w:rPr>
          <w:rFonts w:ascii="Aptos" w:eastAsia="Arial" w:hAnsi="Aptos"/>
        </w:rPr>
      </w:pPr>
      <w:r w:rsidRPr="00B87B30">
        <w:rPr>
          <w:rFonts w:ascii="Aptos" w:eastAsia="Arial" w:hAnsi="Aptos"/>
        </w:rPr>
        <w:t xml:space="preserve">Ensuring that findings and recommendations are practical, evidence-based, and useful for program adaptation, learning, accountability, and decision-making. </w:t>
      </w:r>
    </w:p>
    <w:p w14:paraId="02E62F33" w14:textId="4A84B4BD" w:rsidR="003B6EA9" w:rsidRPr="00B87B30" w:rsidRDefault="00F10075" w:rsidP="00D23B04">
      <w:pPr>
        <w:pStyle w:val="ListParagraph"/>
        <w:numPr>
          <w:ilvl w:val="0"/>
          <w:numId w:val="6"/>
        </w:numPr>
        <w:spacing w:before="120" w:after="120"/>
        <w:ind w:left="270"/>
        <w:rPr>
          <w:rFonts w:ascii="Aptos" w:hAnsi="Aptos" w:cstheme="minorHAnsi"/>
          <w:b/>
          <w:bCs/>
          <w:color w:val="E36C0A" w:themeColor="accent6" w:themeShade="BF"/>
          <w:sz w:val="24"/>
          <w:szCs w:val="24"/>
        </w:rPr>
      </w:pPr>
      <w:r w:rsidRPr="00B87B30">
        <w:rPr>
          <w:rFonts w:ascii="Aptos" w:hAnsi="Aptos" w:cstheme="minorHAnsi"/>
          <w:b/>
          <w:bCs/>
          <w:color w:val="E36C0A" w:themeColor="accent6" w:themeShade="BF"/>
          <w:sz w:val="24"/>
          <w:szCs w:val="24"/>
        </w:rPr>
        <w:t>Required</w:t>
      </w:r>
      <w:r w:rsidRPr="00B87B30">
        <w:rPr>
          <w:rFonts w:ascii="Aptos" w:hAnsi="Aptos" w:cstheme="minorHAnsi"/>
          <w:b/>
          <w:bCs/>
          <w:color w:val="E36C0A" w:themeColor="accent6" w:themeShade="BF"/>
          <w:spacing w:val="-5"/>
          <w:sz w:val="24"/>
          <w:szCs w:val="24"/>
        </w:rPr>
        <w:t xml:space="preserve"> </w:t>
      </w:r>
      <w:r w:rsidRPr="00B87B30">
        <w:rPr>
          <w:rFonts w:ascii="Aptos" w:hAnsi="Aptos" w:cstheme="minorHAnsi"/>
          <w:b/>
          <w:bCs/>
          <w:color w:val="E36C0A" w:themeColor="accent6" w:themeShade="BF"/>
          <w:sz w:val="24"/>
          <w:szCs w:val="24"/>
        </w:rPr>
        <w:t>Skills</w:t>
      </w:r>
      <w:r w:rsidRPr="00B87B30">
        <w:rPr>
          <w:rFonts w:ascii="Aptos" w:hAnsi="Aptos" w:cstheme="minorHAnsi"/>
          <w:b/>
          <w:bCs/>
          <w:color w:val="E36C0A" w:themeColor="accent6" w:themeShade="BF"/>
          <w:spacing w:val="-5"/>
          <w:sz w:val="24"/>
          <w:szCs w:val="24"/>
        </w:rPr>
        <w:t xml:space="preserve"> </w:t>
      </w:r>
      <w:r w:rsidRPr="00B87B30">
        <w:rPr>
          <w:rFonts w:ascii="Aptos" w:hAnsi="Aptos" w:cstheme="minorHAnsi"/>
          <w:b/>
          <w:bCs/>
          <w:color w:val="E36C0A" w:themeColor="accent6" w:themeShade="BF"/>
          <w:sz w:val="24"/>
          <w:szCs w:val="24"/>
        </w:rPr>
        <w:t>and</w:t>
      </w:r>
      <w:r w:rsidRPr="00B87B30">
        <w:rPr>
          <w:rFonts w:ascii="Aptos" w:hAnsi="Aptos" w:cstheme="minorHAnsi"/>
          <w:b/>
          <w:bCs/>
          <w:color w:val="E36C0A" w:themeColor="accent6" w:themeShade="BF"/>
          <w:spacing w:val="-4"/>
          <w:sz w:val="24"/>
          <w:szCs w:val="24"/>
        </w:rPr>
        <w:t xml:space="preserve"> </w:t>
      </w:r>
      <w:r w:rsidRPr="00B87B30">
        <w:rPr>
          <w:rFonts w:ascii="Aptos" w:hAnsi="Aptos" w:cstheme="minorHAnsi"/>
          <w:b/>
          <w:bCs/>
          <w:color w:val="E36C0A" w:themeColor="accent6" w:themeShade="BF"/>
          <w:spacing w:val="-2"/>
          <w:sz w:val="24"/>
          <w:szCs w:val="24"/>
        </w:rPr>
        <w:t>Requirements:</w:t>
      </w:r>
    </w:p>
    <w:p w14:paraId="211A3C6B" w14:textId="77777777" w:rsidR="001B44F1" w:rsidRPr="00B87B30" w:rsidRDefault="001B44F1" w:rsidP="00DB55E9">
      <w:pPr>
        <w:pStyle w:val="Heading1"/>
        <w:spacing w:before="120" w:after="120"/>
        <w:ind w:left="360" w:firstLine="0"/>
        <w:jc w:val="both"/>
        <w:rPr>
          <w:rFonts w:ascii="Aptos" w:hAnsi="Aptos" w:cstheme="minorHAnsi"/>
          <w:color w:val="E36C0A" w:themeColor="accent6" w:themeShade="BF"/>
          <w:u w:val="none"/>
        </w:rPr>
      </w:pPr>
      <w:r w:rsidRPr="00B87B30">
        <w:rPr>
          <w:rFonts w:ascii="Aptos" w:hAnsi="Aptos" w:cstheme="minorHAnsi"/>
          <w:color w:val="E36C0A" w:themeColor="accent6" w:themeShade="BF"/>
          <w:u w:val="none"/>
        </w:rPr>
        <w:t>Mandatory requirements</w:t>
      </w:r>
    </w:p>
    <w:p w14:paraId="068CAB6B" w14:textId="257C44B9"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Legally registered consultancy firm, research institute, organization, or professional service provider with proven capacity to provide MEAL</w:t>
      </w:r>
      <w:r w:rsidR="00763989" w:rsidRPr="00B87B30">
        <w:rPr>
          <w:rFonts w:ascii="Aptos" w:hAnsi="Aptos"/>
          <w:sz w:val="22"/>
        </w:rPr>
        <w:t xml:space="preserve"> </w:t>
      </w:r>
      <w:r w:rsidRPr="00B87B30">
        <w:rPr>
          <w:rFonts w:ascii="Aptos" w:hAnsi="Aptos"/>
          <w:sz w:val="22"/>
        </w:rPr>
        <w:t>-</w:t>
      </w:r>
      <w:r w:rsidR="00763989" w:rsidRPr="00B87B30">
        <w:rPr>
          <w:rFonts w:ascii="Aptos" w:hAnsi="Aptos"/>
          <w:sz w:val="22"/>
        </w:rPr>
        <w:t xml:space="preserve"> </w:t>
      </w:r>
      <w:r w:rsidRPr="00B87B30">
        <w:rPr>
          <w:rFonts w:ascii="Aptos" w:hAnsi="Aptos"/>
          <w:sz w:val="22"/>
        </w:rPr>
        <w:t>related services in Vietnam.</w:t>
      </w:r>
    </w:p>
    <w:p w14:paraId="5D98D37A"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At least 10 years of demonstrated professional experience in monitoring, evaluation, accountability, and learning, preferably in the development and/or humanitarian sectors.</w:t>
      </w:r>
    </w:p>
    <w:p w14:paraId="4AF5E495"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Proven experience in designing and implementing MEAL assignments, including monitoring systems, baseline studies, mid-term reviews, final evaluations, outcome assessments, impact studies, learning reviews, and thematic research.</w:t>
      </w:r>
    </w:p>
    <w:p w14:paraId="564F0C3B"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lastRenderedPageBreak/>
        <w:t>Strong technical expertise in both quantitative and qualitative research methods, including sampling, survey design, key informant interviews, focus group discussions, participatory methods, data quality assurance, and mixed-methods analysis.</w:t>
      </w:r>
    </w:p>
    <w:p w14:paraId="3195270D"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Strong experience with diverse donor requirements and expectations for MEAL, including institutional donors, bilateral and multilateral donors, UN agencies, foundations, private sector partners, and international NGOs.</w:t>
      </w:r>
    </w:p>
    <w:p w14:paraId="4207DB9D"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Demonstrated experience working with vulnerable and marginalized groups relevant to CARE Vietnam’s programming, including women, ethnic minorities, workers, smallholder farmers, small and micro-enterprise owners, youth, people affected by climate change, and other at-risk groups.</w:t>
      </w:r>
    </w:p>
    <w:p w14:paraId="4280F139"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Strong understanding of gender equality, social inclusion, women’s empowerment, climate resilience, and rights-based approaches in development programming.</w:t>
      </w:r>
    </w:p>
    <w:p w14:paraId="67B2F3B8"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Proven experience applying ethical research standards, safeguarding principles, informed consent, confidentiality, data protection, and responsible data management.</w:t>
      </w:r>
    </w:p>
    <w:p w14:paraId="573CB5C8"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Ability to apply conflict-sensitive, gender-sensitive, inclusive, and do-no-harm approaches in monitoring, evaluation, research, and field engagement.</w:t>
      </w:r>
    </w:p>
    <w:p w14:paraId="4F168EA0"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Demonstrated experience using digital MEAL and data analysis tools such as Kobo, ODK, CommCare, Power BI, Excel, SPSS, Stata, R, NVivo, ATLAS.ti, GIS, or other relevant platforms.</w:t>
      </w:r>
    </w:p>
    <w:p w14:paraId="2F6A6937"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Ability to produce high-quality reports, briefs, presentations, and learning products in English. Vietnamese language capacity is required for fieldwork, stakeholder engagement, and communication with local partners and communities.</w:t>
      </w:r>
    </w:p>
    <w:p w14:paraId="20533BB3"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Strong facilitation, communication, coordination, and interpersonal skills, including the ability to work effectively with CARE staff, partners, government stakeholders, community members, and donor representatives.</w:t>
      </w:r>
    </w:p>
    <w:p w14:paraId="3425F7E7"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Availability to undertake short-term and medium-term assignments, including field travel to CARE Vietnam project sites when required.</w:t>
      </w:r>
    </w:p>
    <w:p w14:paraId="2FA42366" w14:textId="77777777" w:rsidR="001B44F1" w:rsidRPr="00B87B30" w:rsidRDefault="001B44F1" w:rsidP="00DB55E9">
      <w:pPr>
        <w:pStyle w:val="Heading1"/>
        <w:spacing w:before="120" w:after="120"/>
        <w:ind w:left="360" w:firstLine="0"/>
        <w:jc w:val="both"/>
        <w:rPr>
          <w:rFonts w:ascii="Aptos" w:hAnsi="Aptos" w:cstheme="minorHAnsi"/>
          <w:color w:val="E36C0A" w:themeColor="accent6" w:themeShade="BF"/>
          <w:u w:val="none"/>
        </w:rPr>
      </w:pPr>
      <w:r w:rsidRPr="00B87B30">
        <w:rPr>
          <w:rFonts w:ascii="Aptos" w:hAnsi="Aptos" w:cstheme="minorHAnsi"/>
          <w:color w:val="E36C0A" w:themeColor="accent6" w:themeShade="BF"/>
          <w:u w:val="none"/>
        </w:rPr>
        <w:t>Team composition requirements</w:t>
      </w:r>
    </w:p>
    <w:p w14:paraId="29B5733C" w14:textId="77777777" w:rsidR="00802E31" w:rsidRPr="00B87B30" w:rsidRDefault="001B44F1" w:rsidP="00DB55E9">
      <w:pPr>
        <w:spacing w:before="120" w:after="120"/>
        <w:jc w:val="both"/>
        <w:rPr>
          <w:rFonts w:ascii="Aptos" w:eastAsia="Arial" w:hAnsi="Aptos"/>
        </w:rPr>
      </w:pPr>
      <w:r w:rsidRPr="00B87B30">
        <w:rPr>
          <w:rFonts w:ascii="Aptos" w:eastAsia="Arial" w:hAnsi="Aptos"/>
        </w:rPr>
        <w:t>The consultancy firm should propose a qualified team with clearly defined roles and responsibilities.</w:t>
      </w:r>
    </w:p>
    <w:p w14:paraId="46EEC8A9" w14:textId="58860D34" w:rsidR="001B44F1" w:rsidRPr="00B87B30" w:rsidRDefault="001B44F1" w:rsidP="00DB55E9">
      <w:pPr>
        <w:spacing w:before="120" w:after="120"/>
        <w:jc w:val="both"/>
        <w:rPr>
          <w:rFonts w:ascii="Aptos" w:hAnsi="Aptos"/>
        </w:rPr>
      </w:pPr>
      <w:r w:rsidRPr="00B87B30">
        <w:rPr>
          <w:rFonts w:ascii="Aptos" w:eastAsia="Arial" w:hAnsi="Aptos"/>
        </w:rPr>
        <w:t>The proposed team should include, where relevant:</w:t>
      </w:r>
    </w:p>
    <w:p w14:paraId="5194D59C"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Team leader / senior MEAL expert</w:t>
      </w:r>
    </w:p>
    <w:p w14:paraId="55D38FD2"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Quantitative research and data analysis expert</w:t>
      </w:r>
    </w:p>
    <w:p w14:paraId="30415670"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Qualitative research expert</w:t>
      </w:r>
    </w:p>
    <w:p w14:paraId="559DD6C9"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Fieldwork coordinator / enumerator supervisor</w:t>
      </w:r>
    </w:p>
    <w:p w14:paraId="2345BD87"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Data management or ICT4MEAL specialist</w:t>
      </w:r>
    </w:p>
    <w:p w14:paraId="4584BC15"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Gender equality and social inclusion specialist</w:t>
      </w:r>
    </w:p>
    <w:p w14:paraId="10305BE1"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Sectoral experts relevant to CARE Vietnam’s programming, where required</w:t>
      </w:r>
    </w:p>
    <w:p w14:paraId="2A418FF2" w14:textId="77777777" w:rsidR="001B44F1" w:rsidRPr="00B87B30" w:rsidRDefault="001B44F1" w:rsidP="00DB55E9">
      <w:pPr>
        <w:spacing w:before="120" w:after="120"/>
        <w:jc w:val="both"/>
        <w:rPr>
          <w:rFonts w:ascii="Aptos" w:hAnsi="Aptos"/>
        </w:rPr>
      </w:pPr>
      <w:r w:rsidRPr="00B87B30">
        <w:rPr>
          <w:rFonts w:ascii="Aptos" w:eastAsia="Arial" w:hAnsi="Aptos"/>
        </w:rPr>
        <w:t>The firm should submit CVs of proposed key personnel, clearly indicating their relevant experience, technical expertise, language skills, and availability.</w:t>
      </w:r>
    </w:p>
    <w:p w14:paraId="303BFC26" w14:textId="77777777" w:rsidR="001B44F1" w:rsidRPr="00B87B30" w:rsidRDefault="001B44F1" w:rsidP="00DB55E9">
      <w:pPr>
        <w:pStyle w:val="Heading1"/>
        <w:spacing w:before="120" w:after="120"/>
        <w:ind w:left="360" w:firstLine="0"/>
        <w:jc w:val="both"/>
        <w:rPr>
          <w:rFonts w:ascii="Aptos" w:hAnsi="Aptos" w:cstheme="minorHAnsi"/>
          <w:color w:val="E36C0A" w:themeColor="accent6" w:themeShade="BF"/>
          <w:u w:val="none"/>
        </w:rPr>
      </w:pPr>
      <w:r w:rsidRPr="00B87B30">
        <w:rPr>
          <w:rFonts w:ascii="Aptos" w:hAnsi="Aptos" w:cstheme="minorHAnsi"/>
          <w:color w:val="E36C0A" w:themeColor="accent6" w:themeShade="BF"/>
          <w:u w:val="none"/>
        </w:rPr>
        <w:t>Desirable qualifications</w:t>
      </w:r>
    </w:p>
    <w:p w14:paraId="0845115A"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Previous experience working with CARE, international NGOs, UN agencies, or donor-funded programs in Vietnam or the region.</w:t>
      </w:r>
    </w:p>
    <w:p w14:paraId="5CB7717A"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Experience in CARE’s priority thematic areas, such as women’s economic justice, climate justice, resilience, gender equality, inclusive governance, humanitarian response, and community-led development.</w:t>
      </w:r>
    </w:p>
    <w:p w14:paraId="04892F9D"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Knowledge of international humanitarian standards, Core Humanitarian Standard, accountability to affected populations, and relevant coordination mechanisms.</w:t>
      </w:r>
    </w:p>
    <w:p w14:paraId="1DF448CB"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t>Experience working in remote, rural, ethnic minority, climate-vulnerable, or disaster-prone areas.</w:t>
      </w:r>
    </w:p>
    <w:p w14:paraId="3F995469" w14:textId="77777777" w:rsidR="001B44F1" w:rsidRPr="00B87B30" w:rsidRDefault="001B44F1" w:rsidP="00DB55E9">
      <w:pPr>
        <w:pStyle w:val="ListBullet"/>
        <w:tabs>
          <w:tab w:val="num" w:pos="360"/>
        </w:tabs>
        <w:spacing w:before="120" w:after="120" w:line="240" w:lineRule="auto"/>
        <w:ind w:left="360" w:hanging="360"/>
        <w:jc w:val="both"/>
        <w:rPr>
          <w:rFonts w:ascii="Aptos" w:hAnsi="Aptos"/>
          <w:sz w:val="22"/>
        </w:rPr>
      </w:pPr>
      <w:r w:rsidRPr="00B87B30">
        <w:rPr>
          <w:rFonts w:ascii="Aptos" w:hAnsi="Aptos"/>
          <w:sz w:val="22"/>
        </w:rPr>
        <w:lastRenderedPageBreak/>
        <w:t>Experience developing learning products, knowledge management materials, dashboards, and evidence-based communication products for different audiences.</w:t>
      </w:r>
    </w:p>
    <w:p w14:paraId="781C90CF" w14:textId="77777777" w:rsidR="00763989" w:rsidRPr="00B87B30" w:rsidRDefault="00763989" w:rsidP="00D23B04">
      <w:pPr>
        <w:pStyle w:val="ListParagraph"/>
        <w:numPr>
          <w:ilvl w:val="0"/>
          <w:numId w:val="6"/>
        </w:numPr>
        <w:spacing w:before="120" w:after="120"/>
        <w:ind w:left="270"/>
        <w:rPr>
          <w:rFonts w:ascii="Aptos" w:hAnsi="Aptos"/>
          <w:b/>
          <w:bCs/>
          <w:color w:val="E36C0A" w:themeColor="accent6" w:themeShade="BF"/>
          <w:sz w:val="24"/>
          <w:szCs w:val="24"/>
        </w:rPr>
      </w:pPr>
      <w:r w:rsidRPr="00B87B30">
        <w:rPr>
          <w:rFonts w:ascii="Aptos" w:eastAsia="Arial" w:hAnsi="Aptos"/>
          <w:b/>
          <w:bCs/>
          <w:color w:val="E36C0A" w:themeColor="accent6" w:themeShade="BF"/>
          <w:sz w:val="24"/>
          <w:szCs w:val="24"/>
        </w:rPr>
        <w:t>Deliverables and Quality Assurance</w:t>
      </w:r>
    </w:p>
    <w:p w14:paraId="7AEC48CF" w14:textId="77777777" w:rsidR="00763989" w:rsidRPr="00B87B30" w:rsidRDefault="00763989" w:rsidP="00DB55E9">
      <w:pPr>
        <w:spacing w:before="120" w:after="120"/>
        <w:ind w:firstLine="720"/>
        <w:jc w:val="both"/>
        <w:rPr>
          <w:rFonts w:ascii="Aptos" w:hAnsi="Aptos"/>
        </w:rPr>
      </w:pPr>
      <w:r w:rsidRPr="00B87B30">
        <w:rPr>
          <w:rFonts w:ascii="Aptos" w:eastAsia="Arial" w:hAnsi="Aptos"/>
        </w:rPr>
        <w:t>For each assignment under the Consultancy Framework Agreement, specific deliverables will be defined in a separate task order or assignment request. Depending on the nature of the assignment, deliverables may include inception reports, workplans, MEAL tools, data collection instruments, cleaned datasets, data analysis outputs, monitoring reports, evaluation reports, learning briefs, presentations, dashboards, and other knowledge products.</w:t>
      </w:r>
    </w:p>
    <w:p w14:paraId="55B237E4" w14:textId="20B3F38D" w:rsidR="00763989" w:rsidRPr="00B87B30" w:rsidRDefault="00763989" w:rsidP="00DB55E9">
      <w:pPr>
        <w:spacing w:before="120" w:after="120"/>
        <w:jc w:val="both"/>
        <w:rPr>
          <w:rFonts w:ascii="Aptos" w:hAnsi="Aptos"/>
        </w:rPr>
      </w:pPr>
      <w:r w:rsidRPr="00B87B30">
        <w:rPr>
          <w:rFonts w:ascii="Aptos" w:eastAsia="Arial" w:hAnsi="Aptos"/>
        </w:rPr>
        <w:t xml:space="preserve">All deliverables must be submitted in English, unless otherwise agreed with CARE. Draft deliverables will be reviewed </w:t>
      </w:r>
      <w:r w:rsidR="00DB55E9" w:rsidRPr="00B87B30">
        <w:rPr>
          <w:rFonts w:ascii="Aptos" w:eastAsia="Arial" w:hAnsi="Aptos"/>
        </w:rPr>
        <w:t xml:space="preserve">and approved </w:t>
      </w:r>
      <w:r w:rsidRPr="00B87B30">
        <w:rPr>
          <w:rFonts w:ascii="Aptos" w:eastAsia="Arial" w:hAnsi="Aptos"/>
        </w:rPr>
        <w:t>by the CARE MEAL Advisor. The consultancy firm is responsible for addressing CARE’s comments and submitting revised and final versions within the agreed timeline.</w:t>
      </w:r>
    </w:p>
    <w:p w14:paraId="3117080F" w14:textId="77777777" w:rsidR="00763989" w:rsidRPr="00B87B30" w:rsidRDefault="00763989" w:rsidP="00DB55E9">
      <w:pPr>
        <w:spacing w:before="120" w:after="120"/>
        <w:jc w:val="both"/>
        <w:rPr>
          <w:rFonts w:ascii="Aptos" w:hAnsi="Aptos"/>
        </w:rPr>
      </w:pPr>
      <w:r w:rsidRPr="00B87B30">
        <w:rPr>
          <w:rFonts w:ascii="Aptos" w:eastAsia="Arial" w:hAnsi="Aptos"/>
        </w:rPr>
        <w:t>The consultancy firm must ensure that all deliverables are technically sound, evidence-based, clearly written, properly referenced, gender-sensitive, and aligned with CARE’s quality standards, donor requirements, ethical standards, safeguarding commitments, and responsible data management principles.</w:t>
      </w:r>
    </w:p>
    <w:p w14:paraId="2E370FA2" w14:textId="259A33FF" w:rsidR="00763989" w:rsidRPr="00B87B30" w:rsidRDefault="00763989" w:rsidP="00D23B04">
      <w:pPr>
        <w:pStyle w:val="ListParagraph"/>
        <w:numPr>
          <w:ilvl w:val="0"/>
          <w:numId w:val="6"/>
        </w:numPr>
        <w:spacing w:before="120" w:after="120"/>
        <w:ind w:left="270"/>
        <w:rPr>
          <w:rFonts w:ascii="Aptos" w:eastAsia="Arial" w:hAnsi="Aptos"/>
          <w:b/>
          <w:bCs/>
          <w:color w:val="E36C0A" w:themeColor="accent6" w:themeShade="BF"/>
          <w:sz w:val="24"/>
          <w:szCs w:val="24"/>
        </w:rPr>
      </w:pPr>
      <w:r w:rsidRPr="00B87B30">
        <w:rPr>
          <w:rFonts w:ascii="Aptos" w:eastAsia="Arial" w:hAnsi="Aptos"/>
          <w:b/>
          <w:bCs/>
          <w:color w:val="E36C0A" w:themeColor="accent6" w:themeShade="BF"/>
          <w:sz w:val="24"/>
          <w:szCs w:val="24"/>
        </w:rPr>
        <w:t>How to Apply</w:t>
      </w:r>
    </w:p>
    <w:p w14:paraId="115F7FEA" w14:textId="0D6639C2" w:rsidR="00763989" w:rsidRPr="00B87B30" w:rsidRDefault="00763989" w:rsidP="00DB55E9">
      <w:pPr>
        <w:spacing w:before="120" w:after="120"/>
        <w:jc w:val="both"/>
        <w:rPr>
          <w:rFonts w:ascii="Aptos" w:hAnsi="Aptos"/>
        </w:rPr>
      </w:pPr>
      <w:r w:rsidRPr="00B87B30">
        <w:rPr>
          <w:rFonts w:ascii="Aptos" w:eastAsia="Arial" w:hAnsi="Aptos"/>
        </w:rPr>
        <w:t xml:space="preserve">Interested </w:t>
      </w:r>
      <w:r w:rsidR="00B87B30" w:rsidRPr="00B87B30">
        <w:rPr>
          <w:rFonts w:ascii="Aptos" w:eastAsia="Arial" w:hAnsi="Aptos"/>
        </w:rPr>
        <w:t xml:space="preserve">service providers </w:t>
      </w:r>
      <w:r w:rsidRPr="00B87B30">
        <w:rPr>
          <w:rFonts w:ascii="Aptos" w:eastAsia="Arial" w:hAnsi="Aptos"/>
        </w:rPr>
        <w:t>are requested to submit the following documents:</w:t>
      </w:r>
    </w:p>
    <w:p w14:paraId="14450581" w14:textId="77777777" w:rsidR="00B87B30" w:rsidRPr="00B87B30" w:rsidRDefault="00B87B30" w:rsidP="00B87B30">
      <w:pPr>
        <w:pStyle w:val="xmsonormal"/>
        <w:jc w:val="both"/>
        <w:rPr>
          <w:rFonts w:ascii="Aptos" w:eastAsia="Times New Roman" w:hAnsi="Aptos"/>
          <w:b/>
          <w:bCs/>
          <w:sz w:val="22"/>
          <w:szCs w:val="22"/>
          <w:u w:val="single"/>
        </w:rPr>
      </w:pPr>
      <w:r w:rsidRPr="00B87B30">
        <w:rPr>
          <w:rFonts w:ascii="Aptos" w:eastAsia="Times New Roman" w:hAnsi="Aptos"/>
          <w:b/>
          <w:bCs/>
          <w:sz w:val="22"/>
          <w:szCs w:val="22"/>
          <w:u w:val="single"/>
        </w:rPr>
        <w:t>Mandatory requirement:</w:t>
      </w:r>
    </w:p>
    <w:p w14:paraId="36F0DDC3" w14:textId="77777777" w:rsidR="00B87B30" w:rsidRPr="00B87B30" w:rsidRDefault="00B87B30" w:rsidP="00B87B30">
      <w:pPr>
        <w:pStyle w:val="xmsonormal"/>
        <w:jc w:val="both"/>
        <w:rPr>
          <w:rFonts w:ascii="Aptos" w:eastAsia="Times New Roman" w:hAnsi="Aptos"/>
          <w:b/>
          <w:bCs/>
          <w:sz w:val="22"/>
          <w:szCs w:val="22"/>
        </w:rPr>
      </w:pPr>
    </w:p>
    <w:p w14:paraId="517848A5" w14:textId="77777777" w:rsidR="00B87B30" w:rsidRPr="00B87B30" w:rsidRDefault="00B87B30" w:rsidP="00B87B30">
      <w:pPr>
        <w:pStyle w:val="xmsonormal"/>
        <w:numPr>
          <w:ilvl w:val="0"/>
          <w:numId w:val="8"/>
        </w:numPr>
        <w:ind w:left="851" w:hanging="425"/>
        <w:jc w:val="both"/>
        <w:rPr>
          <w:rFonts w:ascii="Aptos" w:eastAsia="Times New Roman" w:hAnsi="Aptos"/>
          <w:b/>
          <w:bCs/>
          <w:sz w:val="22"/>
          <w:szCs w:val="22"/>
        </w:rPr>
      </w:pPr>
      <w:r w:rsidRPr="00B87B30">
        <w:rPr>
          <w:rFonts w:ascii="Aptos" w:eastAsia="Times New Roman" w:hAnsi="Aptos"/>
          <w:b/>
          <w:bCs/>
          <w:sz w:val="22"/>
          <w:szCs w:val="22"/>
        </w:rPr>
        <w:t xml:space="preserve">Expression of Interest &amp; Profile: </w:t>
      </w:r>
      <w:r w:rsidRPr="00B87B30">
        <w:rPr>
          <w:rFonts w:ascii="Aptos" w:eastAsia="Times New Roman" w:hAnsi="Aptos"/>
          <w:sz w:val="22"/>
          <w:szCs w:val="22"/>
        </w:rPr>
        <w:t>A Cover Letter expressing interest in joining the MEAL Consultancy Framework Agreement</w:t>
      </w:r>
      <w:r w:rsidRPr="00B87B30">
        <w:rPr>
          <w:rFonts w:ascii="Aptos" w:eastAsia="Times New Roman" w:hAnsi="Aptos"/>
          <w:b/>
          <w:bCs/>
          <w:sz w:val="22"/>
          <w:szCs w:val="22"/>
        </w:rPr>
        <w:t>.</w:t>
      </w:r>
    </w:p>
    <w:p w14:paraId="0E87D4BC" w14:textId="77777777" w:rsidR="00B87B30" w:rsidRPr="00B87B30" w:rsidRDefault="00B87B30" w:rsidP="00B87B30">
      <w:pPr>
        <w:pStyle w:val="xmsonormal"/>
        <w:numPr>
          <w:ilvl w:val="0"/>
          <w:numId w:val="8"/>
        </w:numPr>
        <w:ind w:left="851" w:hanging="425"/>
        <w:jc w:val="both"/>
        <w:rPr>
          <w:rFonts w:ascii="Aptos" w:eastAsia="Times New Roman" w:hAnsi="Aptos"/>
          <w:b/>
          <w:bCs/>
          <w:sz w:val="22"/>
          <w:szCs w:val="22"/>
        </w:rPr>
      </w:pPr>
      <w:r w:rsidRPr="00B87B30">
        <w:rPr>
          <w:rFonts w:ascii="Aptos" w:hAnsi="Aptos"/>
          <w:b/>
          <w:bCs/>
          <w:sz w:val="22"/>
          <w:szCs w:val="22"/>
          <w:lang w:val="en-GB"/>
        </w:rPr>
        <w:t>Company / Individual Profile (choose applicable):</w:t>
      </w:r>
    </w:p>
    <w:p w14:paraId="0BF8EE44" w14:textId="77777777" w:rsidR="00B87B30" w:rsidRPr="00B87B30" w:rsidRDefault="00B87B30" w:rsidP="00B87B30">
      <w:pPr>
        <w:pStyle w:val="xmsonormal"/>
        <w:ind w:firstLine="720"/>
        <w:jc w:val="both"/>
        <w:rPr>
          <w:rFonts w:ascii="Aptos" w:hAnsi="Aptos"/>
          <w:b/>
          <w:bCs/>
          <w:sz w:val="22"/>
          <w:szCs w:val="22"/>
          <w:lang w:val="en-GB"/>
        </w:rPr>
      </w:pPr>
      <w:r w:rsidRPr="00B87B30">
        <w:rPr>
          <w:rFonts w:ascii="Aptos" w:hAnsi="Aptos"/>
          <w:b/>
          <w:bCs/>
          <w:sz w:val="22"/>
          <w:szCs w:val="22"/>
          <w:lang w:val="en-GB"/>
        </w:rPr>
        <w:t>If applying as a consulting firm:</w:t>
      </w:r>
    </w:p>
    <w:p w14:paraId="67D9627E" w14:textId="77777777" w:rsidR="00B87B30" w:rsidRPr="00B87B30" w:rsidRDefault="00B87B30" w:rsidP="00B87B30">
      <w:pPr>
        <w:pStyle w:val="xmsonormal"/>
        <w:numPr>
          <w:ilvl w:val="0"/>
          <w:numId w:val="9"/>
        </w:numPr>
        <w:jc w:val="both"/>
        <w:rPr>
          <w:rFonts w:ascii="Aptos" w:hAnsi="Aptos"/>
          <w:sz w:val="22"/>
          <w:szCs w:val="22"/>
          <w:lang w:val="en-GB"/>
        </w:rPr>
      </w:pPr>
      <w:r w:rsidRPr="00B87B30">
        <w:rPr>
          <w:rFonts w:ascii="Aptos" w:hAnsi="Aptos"/>
          <w:sz w:val="22"/>
          <w:szCs w:val="22"/>
          <w:lang w:val="en-GB"/>
        </w:rPr>
        <w:t xml:space="preserve">Company profile including introduction, organizational structure, and relevant experience. </w:t>
      </w:r>
    </w:p>
    <w:p w14:paraId="19A47A08" w14:textId="77777777" w:rsidR="00B87B30" w:rsidRPr="00B87B30" w:rsidRDefault="00B87B30" w:rsidP="00B87B30">
      <w:pPr>
        <w:pStyle w:val="xmsonormal"/>
        <w:numPr>
          <w:ilvl w:val="0"/>
          <w:numId w:val="9"/>
        </w:numPr>
        <w:jc w:val="both"/>
        <w:rPr>
          <w:rFonts w:ascii="Aptos" w:hAnsi="Aptos"/>
          <w:sz w:val="22"/>
          <w:szCs w:val="22"/>
          <w:lang w:val="en-GB"/>
        </w:rPr>
      </w:pPr>
      <w:r w:rsidRPr="00B87B30">
        <w:rPr>
          <w:rFonts w:ascii="Aptos" w:hAnsi="Aptos"/>
          <w:sz w:val="22"/>
          <w:szCs w:val="22"/>
          <w:lang w:val="en-GB"/>
        </w:rPr>
        <w:t xml:space="preserve">CVs of key personnel / proposed experts, including qualifications and experience. </w:t>
      </w:r>
    </w:p>
    <w:p w14:paraId="55EA3ADB" w14:textId="77777777" w:rsidR="00B87B30" w:rsidRPr="00B87B30" w:rsidRDefault="00B87B30" w:rsidP="00B87B30">
      <w:pPr>
        <w:pStyle w:val="xmsonormal"/>
        <w:numPr>
          <w:ilvl w:val="0"/>
          <w:numId w:val="9"/>
        </w:numPr>
        <w:jc w:val="both"/>
        <w:rPr>
          <w:rFonts w:ascii="Aptos" w:hAnsi="Aptos"/>
          <w:sz w:val="22"/>
          <w:szCs w:val="22"/>
          <w:lang w:val="en-GB"/>
        </w:rPr>
      </w:pPr>
      <w:r w:rsidRPr="00B87B30">
        <w:rPr>
          <w:rFonts w:ascii="Aptos" w:hAnsi="Aptos"/>
          <w:sz w:val="22"/>
          <w:szCs w:val="22"/>
          <w:lang w:val="en-GB"/>
        </w:rPr>
        <w:t xml:space="preserve">Evidence of relevant experience in similar assignments (preferably with NGOs/INGOs or donor-funded projects). </w:t>
      </w:r>
    </w:p>
    <w:p w14:paraId="6A867D4D" w14:textId="77777777" w:rsidR="00A856BC" w:rsidRPr="00A856BC" w:rsidRDefault="00A856BC" w:rsidP="00A856BC">
      <w:pPr>
        <w:pStyle w:val="xmsonormal"/>
        <w:numPr>
          <w:ilvl w:val="0"/>
          <w:numId w:val="9"/>
        </w:numPr>
        <w:jc w:val="both"/>
        <w:rPr>
          <w:rFonts w:ascii="Aptos" w:hAnsi="Aptos"/>
          <w:sz w:val="22"/>
          <w:szCs w:val="22"/>
          <w:lang w:val="en-GB"/>
        </w:rPr>
      </w:pPr>
      <w:r w:rsidRPr="00A856BC">
        <w:rPr>
          <w:rFonts w:ascii="Aptos" w:hAnsi="Aptos"/>
          <w:sz w:val="22"/>
          <w:szCs w:val="22"/>
          <w:lang w:val="en-GB"/>
        </w:rPr>
        <w:t>At least one sample for each type of relevant previous MEAL assignment, including: evaluation reports, learning briefs, monitoring reports, or research products; MEAL training agenda, facilitation plan and training report, Monitoring trip report…</w:t>
      </w:r>
    </w:p>
    <w:p w14:paraId="688CD235" w14:textId="77777777" w:rsidR="00B87B30" w:rsidRPr="00B87B30" w:rsidRDefault="00B87B30" w:rsidP="00B87B30">
      <w:pPr>
        <w:pStyle w:val="xmsonormal"/>
        <w:ind w:left="720"/>
        <w:jc w:val="both"/>
        <w:rPr>
          <w:rFonts w:ascii="Aptos" w:hAnsi="Aptos"/>
          <w:b/>
          <w:bCs/>
          <w:sz w:val="22"/>
          <w:szCs w:val="22"/>
          <w:lang w:val="en-GB"/>
        </w:rPr>
      </w:pPr>
    </w:p>
    <w:p w14:paraId="7D693C34" w14:textId="77777777" w:rsidR="00B87B30" w:rsidRPr="00B87B30" w:rsidRDefault="00B87B30" w:rsidP="00B87B30">
      <w:pPr>
        <w:pStyle w:val="xmsonormal"/>
        <w:ind w:left="720"/>
        <w:jc w:val="both"/>
        <w:rPr>
          <w:rFonts w:ascii="Aptos" w:hAnsi="Aptos"/>
          <w:b/>
          <w:bCs/>
          <w:sz w:val="22"/>
          <w:szCs w:val="22"/>
          <w:lang w:val="en-GB"/>
        </w:rPr>
      </w:pPr>
      <w:r w:rsidRPr="00B87B30">
        <w:rPr>
          <w:rFonts w:ascii="Aptos" w:hAnsi="Aptos"/>
          <w:b/>
          <w:bCs/>
          <w:sz w:val="22"/>
          <w:szCs w:val="22"/>
          <w:lang w:val="en-GB"/>
        </w:rPr>
        <w:t>If applying as individual consultant or consortium:</w:t>
      </w:r>
    </w:p>
    <w:p w14:paraId="493787E2" w14:textId="77777777" w:rsidR="00B87B30" w:rsidRPr="00B87B30" w:rsidRDefault="00B87B30" w:rsidP="00B87B30">
      <w:pPr>
        <w:pStyle w:val="xmsonormal"/>
        <w:numPr>
          <w:ilvl w:val="0"/>
          <w:numId w:val="10"/>
        </w:numPr>
        <w:jc w:val="both"/>
        <w:rPr>
          <w:rFonts w:ascii="Aptos" w:hAnsi="Aptos"/>
          <w:sz w:val="22"/>
          <w:szCs w:val="22"/>
          <w:lang w:val="en-GB"/>
        </w:rPr>
      </w:pPr>
      <w:r w:rsidRPr="00B87B30">
        <w:rPr>
          <w:rFonts w:ascii="Aptos" w:hAnsi="Aptos"/>
          <w:sz w:val="22"/>
          <w:szCs w:val="22"/>
          <w:lang w:val="en-GB"/>
        </w:rPr>
        <w:t xml:space="preserve">Updated CV(s) of consultant(s), clearly indicating qualifications, relevant experience, and key assignments. </w:t>
      </w:r>
    </w:p>
    <w:p w14:paraId="0CD908B6" w14:textId="77777777" w:rsidR="00A856BC" w:rsidRPr="00A856BC" w:rsidRDefault="00A856BC" w:rsidP="00A856BC">
      <w:pPr>
        <w:pStyle w:val="xmsonormal"/>
        <w:numPr>
          <w:ilvl w:val="0"/>
          <w:numId w:val="9"/>
        </w:numPr>
        <w:jc w:val="both"/>
        <w:rPr>
          <w:rFonts w:ascii="Aptos" w:hAnsi="Aptos"/>
          <w:sz w:val="22"/>
          <w:szCs w:val="22"/>
          <w:lang w:val="en-GB"/>
        </w:rPr>
      </w:pPr>
      <w:r w:rsidRPr="00A856BC">
        <w:rPr>
          <w:rFonts w:ascii="Aptos" w:hAnsi="Aptos"/>
          <w:sz w:val="22"/>
          <w:szCs w:val="22"/>
          <w:lang w:val="en-GB"/>
        </w:rPr>
        <w:t>At least one sample for each type of relevant previous MEAL assignment, including: evaluation reports, learning briefs, monitoring reports, or research products; MEAL training agenda, facilitation plan and training report, Monitoring trip report…</w:t>
      </w:r>
    </w:p>
    <w:p w14:paraId="1E18EEEA" w14:textId="77777777" w:rsidR="00B87B30" w:rsidRPr="00B87B30" w:rsidRDefault="00B87B30" w:rsidP="00B87B30">
      <w:pPr>
        <w:pStyle w:val="ListParagraph"/>
        <w:widowControl/>
        <w:numPr>
          <w:ilvl w:val="0"/>
          <w:numId w:val="7"/>
        </w:numPr>
        <w:autoSpaceDE/>
        <w:autoSpaceDN/>
        <w:spacing w:before="100" w:beforeAutospacing="1" w:after="100" w:afterAutospacing="1"/>
        <w:ind w:left="851" w:hanging="425"/>
        <w:contextualSpacing/>
        <w:jc w:val="left"/>
        <w:rPr>
          <w:rFonts w:ascii="Aptos" w:eastAsiaTheme="minorHAnsi" w:hAnsi="Aptos"/>
          <w:lang w:val="en-GB"/>
        </w:rPr>
      </w:pPr>
      <w:r w:rsidRPr="00B87B30">
        <w:rPr>
          <w:rFonts w:ascii="Aptos" w:eastAsiaTheme="minorHAnsi" w:hAnsi="Aptos"/>
          <w:b/>
          <w:bCs/>
          <w:lang w:val="en-GB"/>
        </w:rPr>
        <w:t>Bidder’s Declaration:</w:t>
      </w:r>
      <w:r w:rsidRPr="00B87B30">
        <w:rPr>
          <w:rFonts w:ascii="Aptos" w:eastAsiaTheme="minorHAnsi" w:hAnsi="Aptos"/>
          <w:lang w:val="en-GB"/>
        </w:rPr>
        <w:t xml:space="preserve"> Fully completed as per Form No. 2 attached (signed and stamped).</w:t>
      </w:r>
    </w:p>
    <w:p w14:paraId="3D92560F" w14:textId="77777777" w:rsidR="00B87B30" w:rsidRPr="00B87B30" w:rsidRDefault="00B87B30" w:rsidP="00B87B30">
      <w:pPr>
        <w:pStyle w:val="ListParagraph"/>
        <w:widowControl/>
        <w:numPr>
          <w:ilvl w:val="0"/>
          <w:numId w:val="7"/>
        </w:numPr>
        <w:autoSpaceDE/>
        <w:autoSpaceDN/>
        <w:spacing w:before="100" w:beforeAutospacing="1" w:after="100" w:afterAutospacing="1"/>
        <w:ind w:left="851" w:hanging="425"/>
        <w:contextualSpacing/>
        <w:jc w:val="left"/>
        <w:rPr>
          <w:rFonts w:ascii="Aptos" w:eastAsiaTheme="minorHAnsi" w:hAnsi="Aptos"/>
          <w:lang w:val="en-GB"/>
        </w:rPr>
      </w:pPr>
      <w:r w:rsidRPr="00B87B30">
        <w:rPr>
          <w:rFonts w:ascii="Aptos" w:eastAsiaTheme="minorHAnsi" w:hAnsi="Aptos"/>
          <w:b/>
          <w:bCs/>
          <w:lang w:val="en-GB"/>
        </w:rPr>
        <w:t>Financial Quotation</w:t>
      </w:r>
      <w:r w:rsidRPr="00B87B30">
        <w:rPr>
          <w:rFonts w:ascii="Aptos" w:eastAsiaTheme="minorHAnsi" w:hAnsi="Aptos"/>
          <w:lang w:val="en-GB"/>
        </w:rPr>
        <w:t xml:space="preserve">: </w:t>
      </w:r>
    </w:p>
    <w:p w14:paraId="31FC4921" w14:textId="77777777" w:rsidR="00B87B30" w:rsidRPr="00B87B30" w:rsidRDefault="00B87B30" w:rsidP="00B87B30">
      <w:pPr>
        <w:pStyle w:val="ListParagraph"/>
        <w:widowControl/>
        <w:numPr>
          <w:ilvl w:val="0"/>
          <w:numId w:val="11"/>
        </w:numPr>
        <w:autoSpaceDE/>
        <w:autoSpaceDN/>
        <w:spacing w:before="100" w:beforeAutospacing="1" w:after="100" w:afterAutospacing="1"/>
        <w:contextualSpacing/>
        <w:jc w:val="left"/>
        <w:rPr>
          <w:rFonts w:ascii="Aptos" w:eastAsiaTheme="minorHAnsi" w:hAnsi="Aptos"/>
          <w:lang w:val="en-GB"/>
        </w:rPr>
      </w:pPr>
      <w:r w:rsidRPr="00B87B30">
        <w:rPr>
          <w:rFonts w:ascii="Aptos" w:eastAsiaTheme="minorHAnsi" w:hAnsi="Aptos"/>
          <w:lang w:val="en-GB"/>
        </w:rPr>
        <w:t xml:space="preserve">Daily consultancy rates for each proposed position in VND. </w:t>
      </w:r>
    </w:p>
    <w:p w14:paraId="368E3C00" w14:textId="77777777" w:rsidR="00B87B30" w:rsidRPr="00B87B30" w:rsidRDefault="00B87B30" w:rsidP="00B87B30">
      <w:pPr>
        <w:pStyle w:val="ListParagraph"/>
        <w:widowControl/>
        <w:numPr>
          <w:ilvl w:val="0"/>
          <w:numId w:val="11"/>
        </w:numPr>
        <w:autoSpaceDE/>
        <w:autoSpaceDN/>
        <w:spacing w:before="100" w:beforeAutospacing="1" w:after="100" w:afterAutospacing="1"/>
        <w:contextualSpacing/>
        <w:jc w:val="left"/>
        <w:rPr>
          <w:rFonts w:ascii="Aptos" w:eastAsiaTheme="minorHAnsi" w:hAnsi="Aptos"/>
          <w:lang w:val="en-GB"/>
        </w:rPr>
      </w:pPr>
      <w:r w:rsidRPr="00B87B30">
        <w:rPr>
          <w:rFonts w:ascii="Aptos" w:eastAsiaTheme="minorHAnsi" w:hAnsi="Aptos"/>
          <w:lang w:val="en-GB"/>
        </w:rPr>
        <w:t xml:space="preserve">Rates should clearly indicate whether: </w:t>
      </w:r>
    </w:p>
    <w:p w14:paraId="09A08AA5" w14:textId="77777777" w:rsidR="00B87B30" w:rsidRPr="00B87B30" w:rsidRDefault="00B87B30" w:rsidP="00B87B30">
      <w:pPr>
        <w:pStyle w:val="ListParagraph"/>
        <w:widowControl/>
        <w:numPr>
          <w:ilvl w:val="0"/>
          <w:numId w:val="12"/>
        </w:numPr>
        <w:autoSpaceDE/>
        <w:autoSpaceDN/>
        <w:ind w:left="2694" w:hanging="567"/>
        <w:contextualSpacing/>
        <w:jc w:val="left"/>
        <w:rPr>
          <w:rFonts w:ascii="Aptos" w:eastAsiaTheme="minorHAnsi" w:hAnsi="Aptos"/>
          <w:lang w:val="en-GB"/>
        </w:rPr>
      </w:pPr>
      <w:r w:rsidRPr="00B87B30">
        <w:rPr>
          <w:rFonts w:ascii="Aptos" w:eastAsiaTheme="minorHAnsi" w:hAnsi="Aptos"/>
          <w:lang w:val="en-GB"/>
        </w:rPr>
        <w:t xml:space="preserve">VAT is included (for companies), or </w:t>
      </w:r>
    </w:p>
    <w:p w14:paraId="6EF389B8" w14:textId="77777777" w:rsidR="00B87B30" w:rsidRPr="00B87B30" w:rsidRDefault="00B87B30" w:rsidP="00B87B30">
      <w:pPr>
        <w:pStyle w:val="ListParagraph"/>
        <w:widowControl/>
        <w:numPr>
          <w:ilvl w:val="0"/>
          <w:numId w:val="12"/>
        </w:numPr>
        <w:autoSpaceDE/>
        <w:autoSpaceDN/>
        <w:ind w:left="2694" w:hanging="567"/>
        <w:contextualSpacing/>
        <w:jc w:val="left"/>
        <w:rPr>
          <w:rFonts w:ascii="Aptos" w:eastAsiaTheme="minorHAnsi" w:hAnsi="Aptos"/>
          <w:lang w:val="en-GB"/>
        </w:rPr>
      </w:pPr>
      <w:r w:rsidRPr="00B87B30">
        <w:rPr>
          <w:rFonts w:ascii="Aptos" w:eastAsiaTheme="minorHAnsi" w:hAnsi="Aptos"/>
          <w:lang w:val="en-GB"/>
        </w:rPr>
        <w:t>Personal income tax (PIT) is included (for individuals)</w:t>
      </w:r>
    </w:p>
    <w:p w14:paraId="1EDFB759" w14:textId="2C10F482" w:rsidR="00B87B30" w:rsidRPr="00B87B30" w:rsidRDefault="00B87B30" w:rsidP="00B87B30">
      <w:pPr>
        <w:pStyle w:val="ListParagraph"/>
        <w:widowControl/>
        <w:numPr>
          <w:ilvl w:val="0"/>
          <w:numId w:val="12"/>
        </w:numPr>
        <w:autoSpaceDE/>
        <w:autoSpaceDN/>
        <w:ind w:left="2694" w:hanging="567"/>
        <w:contextualSpacing/>
        <w:jc w:val="left"/>
        <w:rPr>
          <w:rFonts w:ascii="Aptos" w:eastAsiaTheme="minorHAnsi" w:hAnsi="Aptos"/>
          <w:lang w:val="en-GB"/>
        </w:rPr>
      </w:pPr>
      <w:r w:rsidRPr="00B87B30">
        <w:rPr>
          <w:rFonts w:ascii="Aptos" w:eastAsiaTheme="minorHAnsi" w:hAnsi="Aptos"/>
        </w:rPr>
        <w:t xml:space="preserve">Other expenses (if any). Please note that reimbursement such as </w:t>
      </w:r>
      <w:proofErr w:type="spellStart"/>
      <w:r w:rsidRPr="00B87B30">
        <w:rPr>
          <w:rFonts w:ascii="Aptos" w:eastAsiaTheme="minorHAnsi" w:hAnsi="Aptos"/>
        </w:rPr>
        <w:t>Perdiem</w:t>
      </w:r>
      <w:proofErr w:type="spellEnd"/>
      <w:r w:rsidRPr="00B87B30">
        <w:rPr>
          <w:rFonts w:ascii="Aptos" w:eastAsiaTheme="minorHAnsi" w:hAnsi="Aptos"/>
        </w:rPr>
        <w:t xml:space="preserve">, travel, accommodation will be applied under CARE’s </w:t>
      </w:r>
      <w:proofErr w:type="spellStart"/>
      <w:r w:rsidRPr="00B87B30">
        <w:rPr>
          <w:rFonts w:ascii="Aptos" w:eastAsiaTheme="minorHAnsi" w:hAnsi="Aptos"/>
        </w:rPr>
        <w:t>costnorm</w:t>
      </w:r>
      <w:proofErr w:type="spellEnd"/>
    </w:p>
    <w:p w14:paraId="07899106" w14:textId="77777777" w:rsidR="00B87B30" w:rsidRPr="00B87B30" w:rsidRDefault="00B87B30" w:rsidP="00B87B30">
      <w:pPr>
        <w:pStyle w:val="ListParagraph"/>
        <w:widowControl/>
        <w:numPr>
          <w:ilvl w:val="0"/>
          <w:numId w:val="7"/>
        </w:numPr>
        <w:autoSpaceDE/>
        <w:autoSpaceDN/>
        <w:spacing w:before="100" w:beforeAutospacing="1" w:after="100" w:afterAutospacing="1"/>
        <w:ind w:left="851" w:hanging="425"/>
        <w:contextualSpacing/>
        <w:jc w:val="left"/>
        <w:rPr>
          <w:rFonts w:ascii="Aptos" w:eastAsiaTheme="minorHAnsi" w:hAnsi="Aptos"/>
          <w:b/>
          <w:bCs/>
          <w:lang w:val="en-GB"/>
        </w:rPr>
      </w:pPr>
      <w:r w:rsidRPr="00B87B30">
        <w:rPr>
          <w:rFonts w:ascii="Aptos" w:eastAsiaTheme="minorHAnsi" w:hAnsi="Aptos"/>
          <w:b/>
          <w:bCs/>
          <w:lang w:val="en-GB"/>
        </w:rPr>
        <w:t xml:space="preserve">Business Registration Certificate/Business </w:t>
      </w:r>
      <w:proofErr w:type="gramStart"/>
      <w:r w:rsidRPr="00B87B30">
        <w:rPr>
          <w:rFonts w:ascii="Aptos" w:eastAsiaTheme="minorHAnsi" w:hAnsi="Aptos"/>
          <w:b/>
          <w:bCs/>
          <w:lang w:val="en-GB"/>
        </w:rPr>
        <w:t>License</w:t>
      </w:r>
      <w:r w:rsidRPr="00B87B30">
        <w:rPr>
          <w:rFonts w:ascii="Aptos" w:eastAsiaTheme="minorHAnsi" w:hAnsi="Aptos"/>
          <w:lang w:val="en-GB"/>
        </w:rPr>
        <w:t xml:space="preserve"> :</w:t>
      </w:r>
      <w:proofErr w:type="gramEnd"/>
    </w:p>
    <w:p w14:paraId="438D55CB" w14:textId="6F9DBE69" w:rsidR="00B87B30" w:rsidRDefault="00B87B30" w:rsidP="00B87B30">
      <w:pPr>
        <w:pStyle w:val="ListParagraph"/>
        <w:widowControl/>
        <w:numPr>
          <w:ilvl w:val="0"/>
          <w:numId w:val="15"/>
        </w:numPr>
        <w:autoSpaceDE/>
        <w:autoSpaceDN/>
        <w:ind w:firstLine="1123"/>
        <w:contextualSpacing/>
        <w:rPr>
          <w:rFonts w:ascii="Aptos" w:eastAsiaTheme="minorHAnsi" w:hAnsi="Aptos"/>
          <w:lang w:val="en-GB"/>
        </w:rPr>
      </w:pPr>
      <w:r w:rsidRPr="00B87B30">
        <w:rPr>
          <w:rFonts w:ascii="Aptos" w:eastAsiaTheme="minorHAnsi" w:hAnsi="Aptos"/>
          <w:lang w:val="en-GB"/>
        </w:rPr>
        <w:lastRenderedPageBreak/>
        <w:t>Business Registration Certificate / Business License (for consulting firms only)</w:t>
      </w:r>
    </w:p>
    <w:p w14:paraId="20211295" w14:textId="6D9F6744" w:rsidR="00B87B30" w:rsidRPr="00B87B30" w:rsidRDefault="00B87B30" w:rsidP="00B87B30">
      <w:pPr>
        <w:pStyle w:val="ListParagraph"/>
        <w:widowControl/>
        <w:numPr>
          <w:ilvl w:val="0"/>
          <w:numId w:val="15"/>
        </w:numPr>
        <w:autoSpaceDE/>
        <w:autoSpaceDN/>
        <w:ind w:firstLine="1123"/>
        <w:contextualSpacing/>
        <w:rPr>
          <w:rFonts w:ascii="Aptos" w:eastAsiaTheme="minorHAnsi" w:hAnsi="Aptos"/>
          <w:lang w:val="en-GB"/>
        </w:rPr>
      </w:pPr>
      <w:r w:rsidRPr="00B87B30">
        <w:rPr>
          <w:rFonts w:ascii="Aptos" w:eastAsiaTheme="minorHAnsi" w:hAnsi="Aptos"/>
          <w:lang w:val="en-GB"/>
        </w:rPr>
        <w:t xml:space="preserve">Copy of National ID Card / Citizen ID (for individual consultants or members of a </w:t>
      </w:r>
      <w:r>
        <w:rPr>
          <w:rFonts w:ascii="Aptos" w:eastAsiaTheme="minorHAnsi" w:hAnsi="Aptos"/>
          <w:lang w:val="en-GB"/>
        </w:rPr>
        <w:t xml:space="preserve"> </w:t>
      </w:r>
      <w:r>
        <w:rPr>
          <w:rFonts w:ascii="Aptos" w:eastAsiaTheme="minorHAnsi" w:hAnsi="Aptos"/>
          <w:lang w:val="en-GB"/>
        </w:rPr>
        <w:br/>
        <w:t xml:space="preserve">                                 </w:t>
      </w:r>
      <w:r w:rsidRPr="00B87B30">
        <w:rPr>
          <w:rFonts w:ascii="Aptos" w:eastAsiaTheme="minorHAnsi" w:hAnsi="Aptos"/>
          <w:lang w:val="en-GB"/>
        </w:rPr>
        <w:t>consortium)</w:t>
      </w:r>
    </w:p>
    <w:p w14:paraId="2FD29CB2" w14:textId="77777777" w:rsidR="00B87B30" w:rsidRPr="00B87B30" w:rsidRDefault="00B87B30" w:rsidP="00B87B30">
      <w:pPr>
        <w:spacing w:before="100" w:beforeAutospacing="1" w:after="100" w:afterAutospacing="1"/>
        <w:rPr>
          <w:rFonts w:ascii="Aptos" w:eastAsiaTheme="minorHAnsi" w:hAnsi="Aptos"/>
          <w:b/>
          <w:bCs/>
          <w:u w:val="single"/>
          <w:lang w:val="en-GB"/>
        </w:rPr>
      </w:pPr>
      <w:r w:rsidRPr="00B87B30">
        <w:rPr>
          <w:rFonts w:ascii="Aptos" w:eastAsiaTheme="minorHAnsi" w:hAnsi="Aptos"/>
          <w:b/>
          <w:bCs/>
          <w:u w:val="single"/>
          <w:lang w:val="en-GB"/>
        </w:rPr>
        <w:t>Other requirements:</w:t>
      </w:r>
    </w:p>
    <w:p w14:paraId="3DD225D7" w14:textId="77777777" w:rsidR="00B87B30" w:rsidRPr="00B87B30" w:rsidRDefault="00B87B30" w:rsidP="00B87B30">
      <w:pPr>
        <w:pStyle w:val="ListParagraph"/>
        <w:widowControl/>
        <w:numPr>
          <w:ilvl w:val="0"/>
          <w:numId w:val="7"/>
        </w:numPr>
        <w:autoSpaceDE/>
        <w:autoSpaceDN/>
        <w:spacing w:before="100" w:beforeAutospacing="1" w:after="100" w:afterAutospacing="1"/>
        <w:contextualSpacing/>
        <w:jc w:val="left"/>
        <w:rPr>
          <w:rFonts w:ascii="Aptos" w:eastAsiaTheme="minorHAnsi" w:hAnsi="Aptos"/>
          <w:lang w:val="en-GB"/>
        </w:rPr>
      </w:pPr>
      <w:r w:rsidRPr="00B87B30">
        <w:rPr>
          <w:rFonts w:ascii="Aptos" w:eastAsiaTheme="minorHAnsi" w:hAnsi="Aptos"/>
          <w:b/>
          <w:bCs/>
          <w:lang w:val="en-GB"/>
        </w:rPr>
        <w:t>Financial Capacity (applicable for firm only)</w:t>
      </w:r>
      <w:r w:rsidRPr="00B87B30">
        <w:rPr>
          <w:rFonts w:ascii="Aptos" w:eastAsiaTheme="minorHAnsi" w:hAnsi="Aptos"/>
          <w:lang w:val="en-GB"/>
        </w:rPr>
        <w:t xml:space="preserve">: Copies of audited financial statements or tax reports for the most recent two (02) years </w:t>
      </w:r>
    </w:p>
    <w:p w14:paraId="42028664" w14:textId="77777777" w:rsidR="00B87B30" w:rsidRPr="00B87B30" w:rsidRDefault="00B87B30" w:rsidP="00B87B30">
      <w:pPr>
        <w:pStyle w:val="ListParagraph"/>
        <w:widowControl/>
        <w:numPr>
          <w:ilvl w:val="0"/>
          <w:numId w:val="7"/>
        </w:numPr>
        <w:autoSpaceDE/>
        <w:autoSpaceDN/>
        <w:spacing w:before="100" w:beforeAutospacing="1" w:after="100" w:afterAutospacing="1"/>
        <w:contextualSpacing/>
        <w:jc w:val="left"/>
        <w:rPr>
          <w:rFonts w:ascii="Aptos" w:eastAsiaTheme="minorHAnsi" w:hAnsi="Aptos"/>
          <w:lang w:val="en-GB"/>
        </w:rPr>
      </w:pPr>
      <w:r w:rsidRPr="00B87B30">
        <w:rPr>
          <w:rFonts w:ascii="Aptos" w:eastAsiaTheme="minorHAnsi" w:hAnsi="Aptos"/>
          <w:b/>
          <w:bCs/>
          <w:lang w:val="en-GB"/>
        </w:rPr>
        <w:t xml:space="preserve">List of regular clients/customers of the company: </w:t>
      </w:r>
      <w:r w:rsidRPr="00B87B30">
        <w:rPr>
          <w:rFonts w:ascii="Aptos" w:eastAsiaTheme="minorHAnsi" w:hAnsi="Aptos"/>
        </w:rPr>
        <w:t xml:space="preserve">including full client name, address and contact person </w:t>
      </w:r>
    </w:p>
    <w:p w14:paraId="75EA89A2" w14:textId="77777777" w:rsidR="00B87B30" w:rsidRPr="00B87B30" w:rsidRDefault="00B87B30" w:rsidP="00B87B30">
      <w:pPr>
        <w:pStyle w:val="ListBullet"/>
        <w:numPr>
          <w:ilvl w:val="0"/>
          <w:numId w:val="7"/>
        </w:numPr>
        <w:spacing w:before="120" w:after="120" w:line="240" w:lineRule="auto"/>
        <w:jc w:val="both"/>
        <w:rPr>
          <w:rFonts w:ascii="Aptos" w:eastAsiaTheme="minorHAnsi" w:hAnsi="Aptos" w:cs="Times New Roman"/>
          <w:b/>
          <w:bCs/>
          <w:sz w:val="22"/>
          <w:lang w:val="en-GB"/>
        </w:rPr>
      </w:pPr>
      <w:r w:rsidRPr="00B87B30">
        <w:rPr>
          <w:rFonts w:ascii="Aptos" w:eastAsiaTheme="minorHAnsi" w:hAnsi="Aptos" w:cs="Times New Roman"/>
          <w:b/>
          <w:bCs/>
          <w:sz w:val="22"/>
          <w:lang w:val="en-GB"/>
        </w:rPr>
        <w:t>At least two professional references from previous clients.</w:t>
      </w:r>
    </w:p>
    <w:p w14:paraId="41AF0DDA" w14:textId="77777777" w:rsidR="00B87B30" w:rsidRPr="00B87B30" w:rsidRDefault="00B87B30" w:rsidP="00B87B30">
      <w:pPr>
        <w:pStyle w:val="ListParagraph"/>
        <w:widowControl/>
        <w:numPr>
          <w:ilvl w:val="0"/>
          <w:numId w:val="7"/>
        </w:numPr>
        <w:autoSpaceDE/>
        <w:autoSpaceDN/>
        <w:spacing w:before="100" w:beforeAutospacing="1" w:after="100" w:afterAutospacing="1"/>
        <w:contextualSpacing/>
        <w:jc w:val="left"/>
        <w:rPr>
          <w:rFonts w:ascii="Aptos" w:eastAsiaTheme="minorHAnsi" w:hAnsi="Aptos"/>
          <w:lang w:val="en-GB"/>
        </w:rPr>
      </w:pPr>
      <w:r w:rsidRPr="00B87B30">
        <w:rPr>
          <w:rFonts w:ascii="Aptos" w:eastAsiaTheme="minorHAnsi" w:hAnsi="Aptos"/>
          <w:b/>
          <w:bCs/>
        </w:rPr>
        <w:t>Three (03) recent tax invoices or contracts</w:t>
      </w:r>
      <w:r w:rsidRPr="00B87B30">
        <w:rPr>
          <w:rFonts w:ascii="Aptos" w:eastAsiaTheme="minorHAnsi" w:hAnsi="Aptos"/>
        </w:rPr>
        <w:t xml:space="preserve"> showing the value of completed orders. </w:t>
      </w:r>
    </w:p>
    <w:p w14:paraId="73B343BA" w14:textId="77777777" w:rsidR="00B87B30" w:rsidRPr="00B87B30" w:rsidRDefault="00B87B30" w:rsidP="00B87B30">
      <w:pPr>
        <w:spacing w:after="160" w:line="259" w:lineRule="auto"/>
        <w:rPr>
          <w:rFonts w:ascii="Aptos" w:eastAsiaTheme="minorHAnsi" w:hAnsi="Aptos"/>
          <w:b/>
          <w:bCs/>
          <w:color w:val="EE0000"/>
          <w:u w:val="single"/>
        </w:rPr>
      </w:pPr>
      <w:r w:rsidRPr="00B87B30">
        <w:rPr>
          <w:rFonts w:ascii="Aptos" w:eastAsiaTheme="minorHAnsi" w:hAnsi="Aptos"/>
          <w:b/>
          <w:bCs/>
          <w:color w:val="EE0000"/>
          <w:u w:val="single"/>
        </w:rPr>
        <w:t>Please note that only bidders who meet all mandatory requirements will be considered for further evaluation.</w:t>
      </w:r>
    </w:p>
    <w:p w14:paraId="72CE0C8A" w14:textId="1D339116" w:rsidR="00B87B30" w:rsidRPr="00B87B30" w:rsidRDefault="00B87B30" w:rsidP="00B87B30">
      <w:pPr>
        <w:contextualSpacing/>
        <w:jc w:val="both"/>
        <w:rPr>
          <w:rFonts w:ascii="Aptos" w:hAnsi="Aptos" w:cstheme="majorBidi"/>
        </w:rPr>
      </w:pPr>
      <w:r w:rsidRPr="00B87B30">
        <w:rPr>
          <w:rFonts w:ascii="Aptos" w:hAnsi="Aptos" w:cstheme="majorBidi"/>
        </w:rPr>
        <w:t xml:space="preserve">Applications will be accepted until </w:t>
      </w:r>
      <w:r w:rsidRPr="00B87B30">
        <w:rPr>
          <w:rFonts w:ascii="Aptos" w:hAnsi="Aptos" w:cstheme="majorBidi"/>
          <w:b/>
          <w:bCs/>
        </w:rPr>
        <w:t xml:space="preserve">10 June 2026 delivered via email solely to </w:t>
      </w:r>
      <w:r w:rsidRPr="00B87B30">
        <w:rPr>
          <w:rFonts w:ascii="Aptos" w:hAnsi="Aptos" w:cstheme="majorBidi"/>
          <w:b/>
          <w:bCs/>
          <w:highlight w:val="yellow"/>
        </w:rPr>
        <w:t>vnm.sealedbid6@care.org</w:t>
      </w:r>
      <w:r w:rsidRPr="00B87B30">
        <w:rPr>
          <w:rFonts w:ascii="Aptos" w:hAnsi="Aptos" w:cstheme="majorBidi"/>
        </w:rPr>
        <w:t xml:space="preserve"> no later than the above specified date.</w:t>
      </w:r>
    </w:p>
    <w:p w14:paraId="65C40A55" w14:textId="77777777" w:rsidR="00B87B30" w:rsidRPr="00B87B30" w:rsidRDefault="00B87B30" w:rsidP="00B87B30">
      <w:pPr>
        <w:ind w:left="360"/>
        <w:contextualSpacing/>
        <w:jc w:val="both"/>
        <w:rPr>
          <w:rFonts w:ascii="Aptos" w:hAnsi="Aptos" w:cstheme="majorBidi"/>
        </w:rPr>
      </w:pPr>
    </w:p>
    <w:p w14:paraId="444EB952" w14:textId="5E51CBC9" w:rsidR="003B6EA9" w:rsidRPr="00B87B30" w:rsidRDefault="00B87B30" w:rsidP="00B87B30">
      <w:pPr>
        <w:pStyle w:val="BodyText"/>
        <w:spacing w:before="120" w:after="120"/>
        <w:jc w:val="both"/>
        <w:rPr>
          <w:rFonts w:ascii="Aptos" w:hAnsi="Aptos"/>
          <w:b/>
          <w:bCs/>
        </w:rPr>
      </w:pPr>
      <w:r w:rsidRPr="00B87B30">
        <w:rPr>
          <w:rFonts w:ascii="Aptos" w:hAnsi="Aptos"/>
          <w:b/>
          <w:bCs/>
        </w:rPr>
        <w:t>Clarifications:</w:t>
      </w:r>
      <w:r w:rsidRPr="00B87B30">
        <w:rPr>
          <w:rFonts w:ascii="Aptos" w:hAnsi="Aptos"/>
        </w:rPr>
        <w:t xml:space="preserve"> Any requests for clarification with the subject line “Clarification No. 1/2026/VNM – MEAL consultancy services” must be submitted in writing via email </w:t>
      </w:r>
      <w:r w:rsidRPr="00B87B30">
        <w:rPr>
          <w:rFonts w:ascii="Aptos" w:hAnsi="Aptos"/>
          <w:b/>
          <w:bCs/>
        </w:rPr>
        <w:t>no later than 5PM on 4 June 2026.</w:t>
      </w:r>
    </w:p>
    <w:p w14:paraId="44CA7564" w14:textId="77777777" w:rsidR="00B87B30" w:rsidRPr="00B87B30" w:rsidRDefault="00B87B30" w:rsidP="00B87B30">
      <w:pPr>
        <w:pStyle w:val="BodyText"/>
        <w:spacing w:before="120" w:after="120"/>
        <w:jc w:val="both"/>
        <w:rPr>
          <w:rFonts w:ascii="Aptos" w:hAnsi="Aptos"/>
          <w:b/>
          <w:bCs/>
          <w:sz w:val="24"/>
          <w:szCs w:val="24"/>
        </w:rPr>
      </w:pPr>
    </w:p>
    <w:p w14:paraId="5B0623E9" w14:textId="6F6E5043" w:rsidR="00B87B30" w:rsidRPr="00B87B30" w:rsidRDefault="00B87B30" w:rsidP="00B87B30">
      <w:pPr>
        <w:pStyle w:val="BodyText"/>
        <w:spacing w:before="120" w:after="120"/>
        <w:jc w:val="both"/>
        <w:rPr>
          <w:rFonts w:ascii="Aptos" w:hAnsi="Aptos" w:cstheme="minorHAnsi"/>
        </w:rPr>
      </w:pPr>
      <w:r w:rsidRPr="00B87B30">
        <w:rPr>
          <w:rFonts w:ascii="Aptos" w:hAnsi="Aptos"/>
          <w:b/>
          <w:bCs/>
          <w:sz w:val="24"/>
          <w:szCs w:val="24"/>
        </w:rPr>
        <w:t>Please refer to the attached documents for details.</w:t>
      </w:r>
    </w:p>
    <w:p w14:paraId="3D9EE9AF" w14:textId="77777777" w:rsidR="00C139E9" w:rsidRPr="00B87B30" w:rsidRDefault="00C139E9" w:rsidP="00DB55E9">
      <w:pPr>
        <w:pStyle w:val="BodyText"/>
        <w:spacing w:before="120" w:after="120"/>
        <w:jc w:val="both"/>
        <w:rPr>
          <w:rFonts w:ascii="Aptos" w:hAnsi="Aptos" w:cstheme="minorHAnsi"/>
        </w:rPr>
      </w:pPr>
      <w:r w:rsidRPr="00B87B30">
        <w:rPr>
          <w:rFonts w:ascii="Aptos" w:hAnsi="Aptos" w:cstheme="minorHAnsi"/>
        </w:rPr>
        <w:t xml:space="preserve">CARE is an equal opportunity employer committed to a diverse workforce. Women, ethnic minorities and people with disabilities are strongly encouraged to apply. </w:t>
      </w:r>
    </w:p>
    <w:p w14:paraId="17CB83CF" w14:textId="17499850" w:rsidR="00802E31" w:rsidRPr="00B87B30" w:rsidRDefault="00C139E9" w:rsidP="00DB55E9">
      <w:pPr>
        <w:pStyle w:val="BodyText"/>
        <w:spacing w:before="120" w:after="120"/>
        <w:jc w:val="both"/>
        <w:rPr>
          <w:rFonts w:ascii="Aptos" w:hAnsi="Aptos" w:cstheme="minorHAnsi"/>
        </w:rPr>
        <w:sectPr w:rsidR="00802E31" w:rsidRPr="00B87B30">
          <w:headerReference w:type="default" r:id="rId11"/>
          <w:pgSz w:w="12240" w:h="15840"/>
          <w:pgMar w:top="1620" w:right="1080" w:bottom="280" w:left="1080" w:header="708" w:footer="0" w:gutter="0"/>
          <w:cols w:space="720"/>
        </w:sectPr>
      </w:pPr>
      <w:r w:rsidRPr="00B87B30">
        <w:rPr>
          <w:rFonts w:ascii="Aptos" w:hAnsi="Aptos" w:cstheme="minorHAnsi"/>
          <w:i/>
          <w:iCs/>
        </w:rPr>
        <w:t>Thanks for your interest in CARE! We are committed to each other and to the protection of the people we serve. We do not tolerate sexual misconduct within or external to our organisation and imbed child protection in all we do. Protection from sexual harassment, exploitation and abuse and child protection are fundamental to our relationships, including employment, and our recruitment practices are designed to ensure we only recruit people who are suitable to work with other staff and the people we serve. As well as pre-employment checks, we will use the recruitment and reference process to ensure potential new consultant/supplier understand and are aligned with these expectations. To find out more, please contact the Human Resources Team Leader.</w:t>
      </w:r>
    </w:p>
    <w:p w14:paraId="07704066" w14:textId="617CF1FB" w:rsidR="003B6EA9" w:rsidRPr="00B87B30" w:rsidRDefault="003B6EA9" w:rsidP="00B87B30">
      <w:pPr>
        <w:spacing w:before="120" w:after="120"/>
        <w:ind w:left="360"/>
        <w:jc w:val="both"/>
        <w:rPr>
          <w:rFonts w:ascii="Aptos" w:hAnsi="Aptos" w:cstheme="minorHAnsi"/>
          <w:b/>
        </w:rPr>
      </w:pPr>
    </w:p>
    <w:sectPr w:rsidR="003B6EA9" w:rsidRPr="00B87B30">
      <w:pgSz w:w="12240" w:h="15840"/>
      <w:pgMar w:top="1620" w:right="1080" w:bottom="280" w:left="10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BBCE" w14:textId="77777777" w:rsidR="00755306" w:rsidRDefault="00755306">
      <w:r>
        <w:separator/>
      </w:r>
    </w:p>
  </w:endnote>
  <w:endnote w:type="continuationSeparator" w:id="0">
    <w:p w14:paraId="590835CA" w14:textId="77777777" w:rsidR="00755306" w:rsidRDefault="0075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F9F8" w14:textId="77777777" w:rsidR="00755306" w:rsidRDefault="00755306">
      <w:r>
        <w:separator/>
      </w:r>
    </w:p>
  </w:footnote>
  <w:footnote w:type="continuationSeparator" w:id="0">
    <w:p w14:paraId="7D27C76D" w14:textId="77777777" w:rsidR="00755306" w:rsidRDefault="0075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12FD" w14:textId="2AC1AC58" w:rsidR="003B6EA9" w:rsidRDefault="003B6EA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A6E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120E4"/>
    <w:multiLevelType w:val="hybridMultilevel"/>
    <w:tmpl w:val="F2CE49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7F11B0F"/>
    <w:multiLevelType w:val="hybridMultilevel"/>
    <w:tmpl w:val="6F9E7368"/>
    <w:lvl w:ilvl="0" w:tplc="F65EF824">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0C44F768">
      <w:numFmt w:val="bullet"/>
      <w:lvlText w:val="•"/>
      <w:lvlJc w:val="left"/>
      <w:pPr>
        <w:ind w:left="1980" w:hanging="360"/>
      </w:pPr>
      <w:rPr>
        <w:rFonts w:hint="default"/>
        <w:lang w:val="en-US" w:eastAsia="en-US" w:bidi="ar-SA"/>
      </w:rPr>
    </w:lvl>
    <w:lvl w:ilvl="2" w:tplc="05DC4288">
      <w:numFmt w:val="bullet"/>
      <w:lvlText w:val="•"/>
      <w:lvlJc w:val="left"/>
      <w:pPr>
        <w:ind w:left="2880" w:hanging="360"/>
      </w:pPr>
      <w:rPr>
        <w:rFonts w:hint="default"/>
        <w:lang w:val="en-US" w:eastAsia="en-US" w:bidi="ar-SA"/>
      </w:rPr>
    </w:lvl>
    <w:lvl w:ilvl="3" w:tplc="ADAEA128">
      <w:numFmt w:val="bullet"/>
      <w:lvlText w:val="•"/>
      <w:lvlJc w:val="left"/>
      <w:pPr>
        <w:ind w:left="3780" w:hanging="360"/>
      </w:pPr>
      <w:rPr>
        <w:rFonts w:hint="default"/>
        <w:lang w:val="en-US" w:eastAsia="en-US" w:bidi="ar-SA"/>
      </w:rPr>
    </w:lvl>
    <w:lvl w:ilvl="4" w:tplc="2766FCE6">
      <w:numFmt w:val="bullet"/>
      <w:lvlText w:val="•"/>
      <w:lvlJc w:val="left"/>
      <w:pPr>
        <w:ind w:left="4680" w:hanging="360"/>
      </w:pPr>
      <w:rPr>
        <w:rFonts w:hint="default"/>
        <w:lang w:val="en-US" w:eastAsia="en-US" w:bidi="ar-SA"/>
      </w:rPr>
    </w:lvl>
    <w:lvl w:ilvl="5" w:tplc="B4407B46">
      <w:numFmt w:val="bullet"/>
      <w:lvlText w:val="•"/>
      <w:lvlJc w:val="left"/>
      <w:pPr>
        <w:ind w:left="5580" w:hanging="360"/>
      </w:pPr>
      <w:rPr>
        <w:rFonts w:hint="default"/>
        <w:lang w:val="en-US" w:eastAsia="en-US" w:bidi="ar-SA"/>
      </w:rPr>
    </w:lvl>
    <w:lvl w:ilvl="6" w:tplc="A62A406A">
      <w:numFmt w:val="bullet"/>
      <w:lvlText w:val="•"/>
      <w:lvlJc w:val="left"/>
      <w:pPr>
        <w:ind w:left="6480" w:hanging="360"/>
      </w:pPr>
      <w:rPr>
        <w:rFonts w:hint="default"/>
        <w:lang w:val="en-US" w:eastAsia="en-US" w:bidi="ar-SA"/>
      </w:rPr>
    </w:lvl>
    <w:lvl w:ilvl="7" w:tplc="7F348CD0">
      <w:numFmt w:val="bullet"/>
      <w:lvlText w:val="•"/>
      <w:lvlJc w:val="left"/>
      <w:pPr>
        <w:ind w:left="7380" w:hanging="360"/>
      </w:pPr>
      <w:rPr>
        <w:rFonts w:hint="default"/>
        <w:lang w:val="en-US" w:eastAsia="en-US" w:bidi="ar-SA"/>
      </w:rPr>
    </w:lvl>
    <w:lvl w:ilvl="8" w:tplc="87881744">
      <w:numFmt w:val="bullet"/>
      <w:lvlText w:val="•"/>
      <w:lvlJc w:val="left"/>
      <w:pPr>
        <w:ind w:left="8280" w:hanging="360"/>
      </w:pPr>
      <w:rPr>
        <w:rFonts w:hint="default"/>
        <w:lang w:val="en-US" w:eastAsia="en-US" w:bidi="ar-SA"/>
      </w:rPr>
    </w:lvl>
  </w:abstractNum>
  <w:abstractNum w:abstractNumId="3" w15:restartNumberingAfterBreak="0">
    <w:nsid w:val="2F120914"/>
    <w:multiLevelType w:val="hybridMultilevel"/>
    <w:tmpl w:val="CD84C0D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45A0C1C"/>
    <w:multiLevelType w:val="hybridMultilevel"/>
    <w:tmpl w:val="9788D194"/>
    <w:lvl w:ilvl="0" w:tplc="9D64A53E">
      <w:start w:val="1"/>
      <w:numFmt w:val="decimal"/>
      <w:lvlText w:val="%1."/>
      <w:lvlJc w:val="left"/>
      <w:pPr>
        <w:ind w:left="1080" w:hanging="360"/>
      </w:pPr>
      <w:rPr>
        <w:rFonts w:ascii="Calibri" w:eastAsia="Calibri" w:hAnsi="Calibri" w:cs="Calibri" w:hint="default"/>
        <w:b/>
        <w:bCs/>
        <w:i w:val="0"/>
        <w:iCs w:val="0"/>
        <w:spacing w:val="0"/>
        <w:w w:val="100"/>
        <w:sz w:val="22"/>
        <w:szCs w:val="22"/>
        <w:lang w:val="en-US" w:eastAsia="en-US" w:bidi="ar-SA"/>
      </w:rPr>
    </w:lvl>
    <w:lvl w:ilvl="1" w:tplc="D9D43104">
      <w:numFmt w:val="bullet"/>
      <w:lvlText w:val=""/>
      <w:lvlJc w:val="left"/>
      <w:pPr>
        <w:ind w:left="1440" w:hanging="360"/>
      </w:pPr>
      <w:rPr>
        <w:rFonts w:ascii="Symbol" w:eastAsia="Symbol" w:hAnsi="Symbol" w:cs="Symbol" w:hint="default"/>
        <w:spacing w:val="0"/>
        <w:w w:val="100"/>
        <w:lang w:val="en-US" w:eastAsia="en-US" w:bidi="ar-SA"/>
      </w:rPr>
    </w:lvl>
    <w:lvl w:ilvl="2" w:tplc="F182C8FA">
      <w:numFmt w:val="bullet"/>
      <w:lvlText w:val="•"/>
      <w:lvlJc w:val="left"/>
      <w:pPr>
        <w:ind w:left="2400" w:hanging="360"/>
      </w:pPr>
      <w:rPr>
        <w:rFonts w:hint="default"/>
        <w:lang w:val="en-US" w:eastAsia="en-US" w:bidi="ar-SA"/>
      </w:rPr>
    </w:lvl>
    <w:lvl w:ilvl="3" w:tplc="C996F8B8">
      <w:numFmt w:val="bullet"/>
      <w:lvlText w:val="•"/>
      <w:lvlJc w:val="left"/>
      <w:pPr>
        <w:ind w:left="3360" w:hanging="360"/>
      </w:pPr>
      <w:rPr>
        <w:rFonts w:hint="default"/>
        <w:lang w:val="en-US" w:eastAsia="en-US" w:bidi="ar-SA"/>
      </w:rPr>
    </w:lvl>
    <w:lvl w:ilvl="4" w:tplc="6C28D888">
      <w:numFmt w:val="bullet"/>
      <w:lvlText w:val="•"/>
      <w:lvlJc w:val="left"/>
      <w:pPr>
        <w:ind w:left="4320" w:hanging="360"/>
      </w:pPr>
      <w:rPr>
        <w:rFonts w:hint="default"/>
        <w:lang w:val="en-US" w:eastAsia="en-US" w:bidi="ar-SA"/>
      </w:rPr>
    </w:lvl>
    <w:lvl w:ilvl="5" w:tplc="83C0F1AE">
      <w:numFmt w:val="bullet"/>
      <w:lvlText w:val="•"/>
      <w:lvlJc w:val="left"/>
      <w:pPr>
        <w:ind w:left="5280" w:hanging="360"/>
      </w:pPr>
      <w:rPr>
        <w:rFonts w:hint="default"/>
        <w:lang w:val="en-US" w:eastAsia="en-US" w:bidi="ar-SA"/>
      </w:rPr>
    </w:lvl>
    <w:lvl w:ilvl="6" w:tplc="37C4A682">
      <w:numFmt w:val="bullet"/>
      <w:lvlText w:val="•"/>
      <w:lvlJc w:val="left"/>
      <w:pPr>
        <w:ind w:left="6240" w:hanging="360"/>
      </w:pPr>
      <w:rPr>
        <w:rFonts w:hint="default"/>
        <w:lang w:val="en-US" w:eastAsia="en-US" w:bidi="ar-SA"/>
      </w:rPr>
    </w:lvl>
    <w:lvl w:ilvl="7" w:tplc="32FC5734">
      <w:numFmt w:val="bullet"/>
      <w:lvlText w:val="•"/>
      <w:lvlJc w:val="left"/>
      <w:pPr>
        <w:ind w:left="7200" w:hanging="360"/>
      </w:pPr>
      <w:rPr>
        <w:rFonts w:hint="default"/>
        <w:lang w:val="en-US" w:eastAsia="en-US" w:bidi="ar-SA"/>
      </w:rPr>
    </w:lvl>
    <w:lvl w:ilvl="8" w:tplc="FF7CF6D0">
      <w:numFmt w:val="bullet"/>
      <w:lvlText w:val="•"/>
      <w:lvlJc w:val="left"/>
      <w:pPr>
        <w:ind w:left="8160" w:hanging="360"/>
      </w:pPr>
      <w:rPr>
        <w:rFonts w:hint="default"/>
        <w:lang w:val="en-US" w:eastAsia="en-US" w:bidi="ar-SA"/>
      </w:rPr>
    </w:lvl>
  </w:abstractNum>
  <w:abstractNum w:abstractNumId="5" w15:restartNumberingAfterBreak="0">
    <w:nsid w:val="37AB4C2D"/>
    <w:multiLevelType w:val="hybridMultilevel"/>
    <w:tmpl w:val="59D0136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83F7A3A"/>
    <w:multiLevelType w:val="hybridMultilevel"/>
    <w:tmpl w:val="CFA4678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252969"/>
    <w:multiLevelType w:val="multilevel"/>
    <w:tmpl w:val="CA82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21F6C"/>
    <w:multiLevelType w:val="hybridMultilevel"/>
    <w:tmpl w:val="781E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E113F"/>
    <w:multiLevelType w:val="hybridMultilevel"/>
    <w:tmpl w:val="BD981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3429D5"/>
    <w:multiLevelType w:val="hybridMultilevel"/>
    <w:tmpl w:val="CBE4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E5A43"/>
    <w:multiLevelType w:val="hybridMultilevel"/>
    <w:tmpl w:val="51546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05A12"/>
    <w:multiLevelType w:val="hybridMultilevel"/>
    <w:tmpl w:val="3F00461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786E6517"/>
    <w:multiLevelType w:val="hybridMultilevel"/>
    <w:tmpl w:val="C0F88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58825467">
    <w:abstractNumId w:val="4"/>
  </w:num>
  <w:num w:numId="2" w16cid:durableId="1857696175">
    <w:abstractNumId w:val="2"/>
  </w:num>
  <w:num w:numId="3" w16cid:durableId="398787546">
    <w:abstractNumId w:val="0"/>
  </w:num>
  <w:num w:numId="4" w16cid:durableId="865481571">
    <w:abstractNumId w:val="12"/>
  </w:num>
  <w:num w:numId="5" w16cid:durableId="515193150">
    <w:abstractNumId w:val="8"/>
  </w:num>
  <w:num w:numId="6" w16cid:durableId="1027410586">
    <w:abstractNumId w:val="11"/>
  </w:num>
  <w:num w:numId="7" w16cid:durableId="1708487261">
    <w:abstractNumId w:val="7"/>
  </w:num>
  <w:num w:numId="8" w16cid:durableId="480582198">
    <w:abstractNumId w:val="6"/>
  </w:num>
  <w:num w:numId="9" w16cid:durableId="929922252">
    <w:abstractNumId w:val="13"/>
  </w:num>
  <w:num w:numId="10" w16cid:durableId="1376541015">
    <w:abstractNumId w:val="5"/>
  </w:num>
  <w:num w:numId="11" w16cid:durableId="1290477799">
    <w:abstractNumId w:val="14"/>
  </w:num>
  <w:num w:numId="12" w16cid:durableId="32392394">
    <w:abstractNumId w:val="3"/>
  </w:num>
  <w:num w:numId="13" w16cid:durableId="1918705817">
    <w:abstractNumId w:val="10"/>
  </w:num>
  <w:num w:numId="14" w16cid:durableId="1836219794">
    <w:abstractNumId w:val="1"/>
  </w:num>
  <w:num w:numId="15" w16cid:durableId="1598782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9"/>
    <w:rsid w:val="00043700"/>
    <w:rsid w:val="00056D4F"/>
    <w:rsid w:val="000E6972"/>
    <w:rsid w:val="001101C0"/>
    <w:rsid w:val="001162D5"/>
    <w:rsid w:val="001B44F1"/>
    <w:rsid w:val="002313DD"/>
    <w:rsid w:val="002B22BF"/>
    <w:rsid w:val="003B6EA9"/>
    <w:rsid w:val="005D00F4"/>
    <w:rsid w:val="005E0C24"/>
    <w:rsid w:val="0060008A"/>
    <w:rsid w:val="00755306"/>
    <w:rsid w:val="00763989"/>
    <w:rsid w:val="00802E31"/>
    <w:rsid w:val="008B19EB"/>
    <w:rsid w:val="008B4C20"/>
    <w:rsid w:val="008D639F"/>
    <w:rsid w:val="0092025A"/>
    <w:rsid w:val="00986EF1"/>
    <w:rsid w:val="00996EA3"/>
    <w:rsid w:val="00A856BC"/>
    <w:rsid w:val="00A91138"/>
    <w:rsid w:val="00B87B30"/>
    <w:rsid w:val="00C139E9"/>
    <w:rsid w:val="00CB14FD"/>
    <w:rsid w:val="00CC5E4C"/>
    <w:rsid w:val="00D23B04"/>
    <w:rsid w:val="00D900BD"/>
    <w:rsid w:val="00DB55E9"/>
    <w:rsid w:val="00E13DCA"/>
    <w:rsid w:val="00E63C37"/>
    <w:rsid w:val="00E643A5"/>
    <w:rsid w:val="00F1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3A72"/>
  <w15:docId w15:val="{0BF62F15-658F-409C-971A-7FF79EE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78" w:hanging="358"/>
      <w:outlineLvl w:val="0"/>
    </w:pPr>
    <w:rPr>
      <w:b/>
      <w:bCs/>
      <w:u w:val="single" w:color="000000"/>
    </w:rPr>
  </w:style>
  <w:style w:type="paragraph" w:styleId="Heading2">
    <w:name w:val="heading 2"/>
    <w:basedOn w:val="Normal"/>
    <w:next w:val="Normal"/>
    <w:link w:val="Heading2Char"/>
    <w:uiPriority w:val="9"/>
    <w:semiHidden/>
    <w:unhideWhenUsed/>
    <w:qFormat/>
    <w:rsid w:val="002B22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01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760" w:hanging="1736"/>
    </w:pPr>
    <w:rPr>
      <w:sz w:val="36"/>
      <w:szCs w:val="36"/>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pPr>
      <w:ind w:left="1440" w:hanging="360"/>
      <w:jc w:val="both"/>
    </w:pPr>
  </w:style>
  <w:style w:type="paragraph" w:customStyle="1" w:styleId="TableParagraph">
    <w:name w:val="Table Paragraph"/>
    <w:basedOn w:val="Normal"/>
    <w:uiPriority w:val="1"/>
    <w:qFormat/>
    <w:pPr>
      <w:spacing w:line="265" w:lineRule="exact"/>
      <w:ind w:left="105"/>
    </w:pPr>
  </w:style>
  <w:style w:type="character" w:customStyle="1" w:styleId="Heading3Char">
    <w:name w:val="Heading 3 Char"/>
    <w:basedOn w:val="DefaultParagraphFont"/>
    <w:link w:val="Heading3"/>
    <w:uiPriority w:val="9"/>
    <w:semiHidden/>
    <w:rsid w:val="001101C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1101C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1101C0"/>
    <w:pPr>
      <w:widowControl/>
      <w:autoSpaceDE/>
      <w:autoSpaceDN/>
    </w:pPr>
    <w:rPr>
      <w:rFonts w:ascii="Times New Roman" w:eastAsiaTheme="minorHAnsi" w:hAnsi="Times New Roman" w:cs="Times New Roman"/>
      <w:sz w:val="24"/>
      <w:szCs w:val="24"/>
    </w:rPr>
  </w:style>
  <w:style w:type="character" w:customStyle="1" w:styleId="Heading2Char">
    <w:name w:val="Heading 2 Char"/>
    <w:basedOn w:val="DefaultParagraphFont"/>
    <w:link w:val="Heading2"/>
    <w:uiPriority w:val="9"/>
    <w:semiHidden/>
    <w:rsid w:val="002B22B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B22BF"/>
    <w:pPr>
      <w:widowControl/>
      <w:tabs>
        <w:tab w:val="center" w:pos="4680"/>
        <w:tab w:val="right" w:pos="9360"/>
      </w:tabs>
      <w:autoSpaceDE/>
      <w:autoSpaceDN/>
    </w:pPr>
    <w:rPr>
      <w:rFonts w:ascii="Arial" w:eastAsia="Arial" w:hAnsi="Arial" w:cstheme="minorBidi"/>
      <w:sz w:val="21"/>
    </w:rPr>
  </w:style>
  <w:style w:type="character" w:customStyle="1" w:styleId="HeaderChar">
    <w:name w:val="Header Char"/>
    <w:basedOn w:val="DefaultParagraphFont"/>
    <w:link w:val="Header"/>
    <w:uiPriority w:val="99"/>
    <w:rsid w:val="002B22BF"/>
    <w:rPr>
      <w:rFonts w:ascii="Arial" w:eastAsia="Arial" w:hAnsi="Arial"/>
      <w:sz w:val="21"/>
    </w:rPr>
  </w:style>
  <w:style w:type="paragraph" w:styleId="ListBullet">
    <w:name w:val="List Bullet"/>
    <w:basedOn w:val="Normal"/>
    <w:uiPriority w:val="99"/>
    <w:unhideWhenUsed/>
    <w:rsid w:val="002B22BF"/>
    <w:pPr>
      <w:widowControl/>
      <w:numPr>
        <w:numId w:val="3"/>
      </w:numPr>
      <w:tabs>
        <w:tab w:val="clear" w:pos="360"/>
      </w:tabs>
      <w:autoSpaceDE/>
      <w:autoSpaceDN/>
      <w:spacing w:after="200" w:line="276" w:lineRule="auto"/>
      <w:ind w:left="0" w:firstLine="0"/>
      <w:contextualSpacing/>
    </w:pPr>
    <w:rPr>
      <w:rFonts w:ascii="Arial" w:eastAsia="Arial" w:hAnsi="Arial" w:cstheme="minorBidi"/>
      <w:sz w:val="21"/>
    </w:rPr>
  </w:style>
  <w:style w:type="character" w:styleId="CommentReference">
    <w:name w:val="annotation reference"/>
    <w:basedOn w:val="DefaultParagraphFont"/>
    <w:uiPriority w:val="99"/>
    <w:semiHidden/>
    <w:unhideWhenUsed/>
    <w:rsid w:val="00986EF1"/>
    <w:rPr>
      <w:sz w:val="16"/>
      <w:szCs w:val="16"/>
    </w:rPr>
  </w:style>
  <w:style w:type="paragraph" w:styleId="CommentText">
    <w:name w:val="annotation text"/>
    <w:basedOn w:val="Normal"/>
    <w:link w:val="CommentTextChar"/>
    <w:uiPriority w:val="99"/>
    <w:unhideWhenUsed/>
    <w:rsid w:val="00986EF1"/>
    <w:rPr>
      <w:sz w:val="20"/>
      <w:szCs w:val="20"/>
    </w:rPr>
  </w:style>
  <w:style w:type="character" w:customStyle="1" w:styleId="CommentTextChar">
    <w:name w:val="Comment Text Char"/>
    <w:basedOn w:val="DefaultParagraphFont"/>
    <w:link w:val="CommentText"/>
    <w:uiPriority w:val="99"/>
    <w:rsid w:val="00986E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Calibri" w:eastAsia="Calibri" w:hAnsi="Calibri" w:cs="Calibri"/>
      <w:b/>
      <w:bCs/>
      <w:sz w:val="20"/>
      <w:szCs w:val="20"/>
    </w:rPr>
  </w:style>
  <w:style w:type="paragraph" w:styleId="Footer">
    <w:name w:val="footer"/>
    <w:basedOn w:val="Normal"/>
    <w:link w:val="FooterChar"/>
    <w:uiPriority w:val="99"/>
    <w:unhideWhenUsed/>
    <w:rsid w:val="00986EF1"/>
    <w:pPr>
      <w:tabs>
        <w:tab w:val="center" w:pos="4680"/>
        <w:tab w:val="right" w:pos="9360"/>
      </w:tabs>
    </w:pPr>
  </w:style>
  <w:style w:type="character" w:customStyle="1" w:styleId="FooterChar">
    <w:name w:val="Footer Char"/>
    <w:basedOn w:val="DefaultParagraphFont"/>
    <w:link w:val="Footer"/>
    <w:uiPriority w:val="99"/>
    <w:rsid w:val="00986EF1"/>
    <w:rPr>
      <w:rFonts w:ascii="Calibri" w:eastAsia="Calibri" w:hAnsi="Calibri" w:cs="Calibri"/>
    </w:rPr>
  </w:style>
  <w:style w:type="paragraph" w:styleId="Revision">
    <w:name w:val="Revision"/>
    <w:hidden/>
    <w:uiPriority w:val="99"/>
    <w:semiHidden/>
    <w:rsid w:val="005E0C24"/>
    <w:pPr>
      <w:widowControl/>
      <w:autoSpaceDE/>
      <w:autoSpaceDN/>
    </w:pPr>
    <w:rPr>
      <w:rFonts w:ascii="Calibri" w:eastAsia="Calibri" w:hAnsi="Calibri" w:cs="Calibri"/>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B87B30"/>
    <w:rPr>
      <w:rFonts w:ascii="Calibri" w:eastAsia="Calibri" w:hAnsi="Calibri" w:cs="Calibri"/>
    </w:rPr>
  </w:style>
  <w:style w:type="character" w:customStyle="1" w:styleId="Heading1Char">
    <w:name w:val="Heading 1 Char"/>
    <w:basedOn w:val="DefaultParagraphFont"/>
    <w:link w:val="Heading1"/>
    <w:uiPriority w:val="9"/>
    <w:rsid w:val="00B87B30"/>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FF7A3-526F-47F8-B059-7A25A97ADC85}">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2.xml><?xml version="1.0" encoding="utf-8"?>
<ds:datastoreItem xmlns:ds="http://schemas.openxmlformats.org/officeDocument/2006/customXml" ds:itemID="{03CCD055-4D87-41AB-94CA-89629A46B319}">
  <ds:schemaRefs>
    <ds:schemaRef ds:uri="http://schemas.microsoft.com/sharepoint/v3/contenttype/forms"/>
  </ds:schemaRefs>
</ds:datastoreItem>
</file>

<file path=customXml/itemProps3.xml><?xml version="1.0" encoding="utf-8"?>
<ds:datastoreItem xmlns:ds="http://schemas.openxmlformats.org/officeDocument/2006/customXml" ds:itemID="{F5E38B22-943E-4F6E-B934-6B1848F17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Moiez Ahmed</dc:creator>
  <cp:lastModifiedBy>Tham Trinh Thi Hong</cp:lastModifiedBy>
  <cp:revision>3</cp:revision>
  <dcterms:created xsi:type="dcterms:W3CDTF">2026-05-26T11:59:00Z</dcterms:created>
  <dcterms:modified xsi:type="dcterms:W3CDTF">2026-05-26T13:39:00Z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for Microsoft 365</vt:lpwstr>
  </property>
  <property fmtid="{D5CDD505-2E9C-101B-9397-08002B2CF9AE}" pid="4" name="LastSaved">
    <vt:filetime>2026-05-12T00:00:00Z</vt:filetime>
  </property>
  <property fmtid="{D5CDD505-2E9C-101B-9397-08002B2CF9AE}" pid="5" name="Producer">
    <vt:lpwstr>3-Heights(TM) PDF Security Shell 4.8.25.2 (http://www.pdf-tools.com)</vt:lpwstr>
  </property>
  <property fmtid="{D5CDD505-2E9C-101B-9397-08002B2CF9AE}" pid="6" name="ContentTypeId">
    <vt:lpwstr>0x010100A7D7ABF8F626AC439A46D942770990B3</vt:lpwstr>
  </property>
  <property fmtid="{D5CDD505-2E9C-101B-9397-08002B2CF9AE}" pid="7" name="MediaServiceImageTags">
    <vt:lpwstr/>
  </property>
</Properties>
</file>